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71" w:rsidRPr="002B240D" w:rsidRDefault="00AE2771" w:rsidP="00AE2771">
      <w:pPr>
        <w:spacing w:after="0"/>
        <w:jc w:val="center"/>
        <w:rPr>
          <w:rFonts w:ascii="Cambria" w:hAnsi="Cambria" w:cs="Cambria"/>
          <w:b/>
          <w:bCs/>
          <w:sz w:val="26"/>
          <w:szCs w:val="26"/>
        </w:rPr>
      </w:pPr>
    </w:p>
    <w:p w:rsidR="00AE2771" w:rsidRPr="002B240D" w:rsidRDefault="00AE2771" w:rsidP="00AE2771">
      <w:pPr>
        <w:spacing w:after="0"/>
        <w:jc w:val="center"/>
        <w:rPr>
          <w:rFonts w:ascii="Cambria" w:hAnsi="Cambria" w:cs="Cambria"/>
          <w:b/>
          <w:bCs/>
          <w:sz w:val="26"/>
          <w:szCs w:val="26"/>
        </w:rPr>
      </w:pPr>
      <w:r w:rsidRPr="002B240D">
        <w:rPr>
          <w:rFonts w:ascii="Cambria" w:hAnsi="Cambria" w:cs="Cambria"/>
          <w:b/>
          <w:bCs/>
          <w:sz w:val="26"/>
          <w:szCs w:val="26"/>
        </w:rPr>
        <w:t>Sanctioning the Violation of Anti-corruption Legislation in Serbia</w:t>
      </w:r>
    </w:p>
    <w:p w:rsidR="00AE2771" w:rsidRPr="002B240D" w:rsidRDefault="00AE2771" w:rsidP="00AE2771">
      <w:pPr>
        <w:spacing w:after="0"/>
        <w:jc w:val="center"/>
        <w:rPr>
          <w:rFonts w:ascii="Cambria" w:hAnsi="Cambria" w:cs="Cambria"/>
          <w:bCs/>
          <w:sz w:val="24"/>
          <w:szCs w:val="24"/>
        </w:rPr>
      </w:pPr>
    </w:p>
    <w:p w:rsidR="00AE2771" w:rsidRPr="002B240D" w:rsidRDefault="00AE2771" w:rsidP="00AE2771">
      <w:pPr>
        <w:spacing w:after="0"/>
        <w:jc w:val="center"/>
        <w:rPr>
          <w:rFonts w:ascii="Cambria" w:hAnsi="Cambria" w:cs="Cambria"/>
          <w:b/>
          <w:bCs/>
          <w:sz w:val="24"/>
          <w:szCs w:val="24"/>
        </w:rPr>
      </w:pPr>
      <w:r w:rsidRPr="002B240D">
        <w:rPr>
          <w:rFonts w:ascii="Cambria" w:hAnsi="Cambria" w:cs="Cambria"/>
          <w:b/>
          <w:bCs/>
          <w:sz w:val="24"/>
          <w:szCs w:val="24"/>
        </w:rPr>
        <w:t>Executive Summary</w:t>
      </w:r>
    </w:p>
    <w:p w:rsidR="00AE2771" w:rsidRPr="002B240D" w:rsidRDefault="00AE2771" w:rsidP="00AE2771">
      <w:pPr>
        <w:spacing w:before="100" w:beforeAutospacing="1" w:after="100" w:afterAutospacing="1" w:line="240" w:lineRule="auto"/>
        <w:jc w:val="both"/>
        <w:rPr>
          <w:rFonts w:ascii="Cambria" w:eastAsia="Times New Roman" w:hAnsi="Cambria" w:cs="Times New Roman"/>
        </w:rPr>
      </w:pPr>
      <w:r w:rsidRPr="002B240D">
        <w:rPr>
          <w:rFonts w:ascii="Cambria" w:eastAsia="Times New Roman" w:hAnsi="Cambria" w:cs="Times New Roman"/>
        </w:rPr>
        <w:t>Corruption in Serbia is widespread, and the problem has been identified in numerous reports of the EU as well as other international organizations. Poor functioning of the judiciary</w:t>
      </w:r>
      <w:r>
        <w:rPr>
          <w:rFonts w:ascii="Cambria" w:eastAsia="Times New Roman" w:hAnsi="Cambria" w:cs="Times New Roman"/>
        </w:rPr>
        <w:t xml:space="preserve"> system</w:t>
      </w:r>
      <w:r w:rsidRPr="002B240D">
        <w:rPr>
          <w:rFonts w:ascii="Cambria" w:eastAsia="Times New Roman" w:hAnsi="Cambria" w:cs="Times New Roman"/>
        </w:rPr>
        <w:t>, the attempt to reform it, which brought even more problems instead of solutions, is often cited as one of the major obstacles to combating corruption.</w:t>
      </w:r>
    </w:p>
    <w:p w:rsidR="00AE2771" w:rsidRDefault="00AE2771" w:rsidP="00AE2771">
      <w:pPr>
        <w:spacing w:before="100" w:beforeAutospacing="1" w:after="100" w:afterAutospacing="1" w:line="240" w:lineRule="auto"/>
        <w:jc w:val="both"/>
        <w:rPr>
          <w:rFonts w:ascii="Cambria" w:eastAsia="Times New Roman" w:hAnsi="Cambria" w:cs="Times New Roman"/>
        </w:rPr>
      </w:pPr>
      <w:r w:rsidRPr="002B240D">
        <w:rPr>
          <w:rFonts w:ascii="Cambria" w:eastAsia="Times New Roman" w:hAnsi="Cambria" w:cs="Times New Roman"/>
        </w:rPr>
        <w:t xml:space="preserve">Some of the negative consequences of the unsuccessful judicial reform have been removed. However, the publicly proclaimed independence of the judiciary needs to be proven in practice. </w:t>
      </w:r>
    </w:p>
    <w:p w:rsidR="00AE2771" w:rsidRPr="002B240D" w:rsidRDefault="00AE2771" w:rsidP="00AE2771">
      <w:pPr>
        <w:spacing w:before="100" w:beforeAutospacing="1" w:after="100" w:afterAutospacing="1" w:line="240" w:lineRule="auto"/>
        <w:jc w:val="both"/>
        <w:rPr>
          <w:rFonts w:ascii="Cambria" w:eastAsia="Times New Roman" w:hAnsi="Cambria" w:cs="Times New Roman"/>
        </w:rPr>
      </w:pPr>
      <w:r>
        <w:rPr>
          <w:rFonts w:ascii="Cambria" w:eastAsia="Times New Roman" w:hAnsi="Cambria" w:cs="Times New Roman"/>
        </w:rPr>
        <w:t>The work</w:t>
      </w:r>
      <w:r w:rsidRPr="002B240D">
        <w:rPr>
          <w:rFonts w:ascii="Cambria" w:eastAsia="Times New Roman" w:hAnsi="Cambria" w:cs="Times New Roman"/>
        </w:rPr>
        <w:t xml:space="preserve"> of independent </w:t>
      </w:r>
      <w:r>
        <w:rPr>
          <w:rFonts w:ascii="Cambria" w:eastAsia="Times New Roman" w:hAnsi="Cambria" w:cs="Times New Roman"/>
        </w:rPr>
        <w:t>state authorities</w:t>
      </w:r>
      <w:r w:rsidRPr="002B240D">
        <w:rPr>
          <w:rFonts w:ascii="Cambria" w:eastAsia="Times New Roman" w:hAnsi="Cambria" w:cs="Times New Roman"/>
        </w:rPr>
        <w:t xml:space="preserve"> and their contribution to the fight against corruption in certain areas is hampered by the lack of political will (disregard of recommendations) and poor enforcement of </w:t>
      </w:r>
      <w:r>
        <w:rPr>
          <w:rFonts w:ascii="Cambria" w:eastAsia="Times New Roman" w:hAnsi="Cambria" w:cs="Times New Roman"/>
        </w:rPr>
        <w:t>legislation</w:t>
      </w:r>
      <w:r w:rsidRPr="002B240D">
        <w:rPr>
          <w:rFonts w:ascii="Cambria" w:eastAsia="Times New Roman" w:hAnsi="Cambria" w:cs="Times New Roman"/>
        </w:rPr>
        <w:t xml:space="preserve">, which has led to the extremely slow sanctioning of violations of anti-corruption legislation. </w:t>
      </w:r>
      <w:r>
        <w:rPr>
          <w:rFonts w:ascii="Cambria" w:eastAsia="Times New Roman" w:hAnsi="Cambria" w:cs="Times New Roman"/>
        </w:rPr>
        <w:t>Misdemeanor proceedings for requests that independent authorities filed</w:t>
      </w:r>
      <w:r w:rsidRPr="002B240D">
        <w:rPr>
          <w:rFonts w:ascii="Cambria" w:eastAsia="Times New Roman" w:hAnsi="Cambria" w:cs="Times New Roman"/>
        </w:rPr>
        <w:t xml:space="preserve"> </w:t>
      </w:r>
      <w:r>
        <w:rPr>
          <w:rFonts w:ascii="Cambria" w:eastAsia="Times New Roman" w:hAnsi="Cambria" w:cs="Times New Roman"/>
        </w:rPr>
        <w:t xml:space="preserve">were </w:t>
      </w:r>
      <w:r w:rsidRPr="002B240D">
        <w:rPr>
          <w:rFonts w:ascii="Cambria" w:eastAsia="Times New Roman" w:hAnsi="Cambria" w:cs="Times New Roman"/>
        </w:rPr>
        <w:t xml:space="preserve">suspended </w:t>
      </w:r>
      <w:r>
        <w:rPr>
          <w:rFonts w:ascii="Cambria" w:eastAsia="Times New Roman" w:hAnsi="Cambria" w:cs="Times New Roman"/>
        </w:rPr>
        <w:t>due to</w:t>
      </w:r>
      <w:r w:rsidRPr="002B240D">
        <w:rPr>
          <w:rFonts w:ascii="Cambria" w:eastAsia="Times New Roman" w:hAnsi="Cambria" w:cs="Times New Roman"/>
        </w:rPr>
        <w:t xml:space="preserve"> the statute of limitations </w:t>
      </w:r>
      <w:r>
        <w:rPr>
          <w:rFonts w:ascii="Cambria" w:eastAsia="Times New Roman" w:hAnsi="Cambria" w:cs="Times New Roman"/>
        </w:rPr>
        <w:t>n</w:t>
      </w:r>
      <w:r w:rsidRPr="002B240D">
        <w:rPr>
          <w:rFonts w:ascii="Cambria" w:eastAsia="Times New Roman" w:hAnsi="Cambria" w:cs="Times New Roman"/>
        </w:rPr>
        <w:t xml:space="preserve">ot only in a </w:t>
      </w:r>
      <w:r w:rsidR="00221F37">
        <w:rPr>
          <w:rFonts w:ascii="Cambria" w:eastAsia="Times New Roman" w:hAnsi="Cambria" w:cs="Times New Roman"/>
        </w:rPr>
        <w:t>small amount of</w:t>
      </w:r>
      <w:r w:rsidRPr="002B240D">
        <w:rPr>
          <w:rFonts w:ascii="Cambria" w:eastAsia="Times New Roman" w:hAnsi="Cambria" w:cs="Times New Roman"/>
        </w:rPr>
        <w:t xml:space="preserve"> cases. So far there have been no cases of proactive action of the prosecution based on the findings of independent bodies - examples that the prosecution initiated misdemeanor or criminal </w:t>
      </w:r>
      <w:r>
        <w:rPr>
          <w:rFonts w:ascii="Cambria" w:eastAsia="Times New Roman" w:hAnsi="Cambria" w:cs="Times New Roman"/>
        </w:rPr>
        <w:t xml:space="preserve">proceedings </w:t>
      </w:r>
      <w:r w:rsidRPr="002B240D">
        <w:rPr>
          <w:rFonts w:ascii="Cambria" w:eastAsia="Times New Roman" w:hAnsi="Cambria" w:cs="Times New Roman"/>
        </w:rPr>
        <w:t xml:space="preserve">for </w:t>
      </w:r>
      <w:r>
        <w:rPr>
          <w:rFonts w:ascii="Cambria" w:eastAsia="Times New Roman" w:hAnsi="Cambria" w:cs="Times New Roman"/>
        </w:rPr>
        <w:t>irregularities</w:t>
      </w:r>
      <w:r w:rsidRPr="002B240D">
        <w:rPr>
          <w:rFonts w:ascii="Cambria" w:eastAsia="Times New Roman" w:hAnsi="Cambria" w:cs="Times New Roman"/>
        </w:rPr>
        <w:t xml:space="preserve"> identified in the reports of independent bodies. The media reported on this system in an unsystematic way, which is why the public did not have a </w:t>
      </w:r>
      <w:r>
        <w:rPr>
          <w:rFonts w:ascii="Cambria" w:eastAsia="Times New Roman" w:hAnsi="Cambria" w:cs="Times New Roman"/>
        </w:rPr>
        <w:t>full</w:t>
      </w:r>
      <w:r w:rsidRPr="002B240D">
        <w:rPr>
          <w:rFonts w:ascii="Cambria" w:eastAsia="Times New Roman" w:hAnsi="Cambria" w:cs="Times New Roman"/>
        </w:rPr>
        <w:t xml:space="preserve"> picture of the functioning of independent bodies and mechanisms of sanctions for violations of anti-corruption legislation. Thus, there was no public pressure on the system that would act as a corrective mechanism.</w:t>
      </w:r>
    </w:p>
    <w:p w:rsidR="00AE2771" w:rsidRPr="002B240D" w:rsidRDefault="00AE2771" w:rsidP="00AE2771">
      <w:pPr>
        <w:spacing w:after="0" w:line="240" w:lineRule="auto"/>
        <w:jc w:val="both"/>
        <w:rPr>
          <w:rFonts w:ascii="Cambria" w:eastAsia="Times New Roman" w:hAnsi="Cambria" w:cs="Helvetica"/>
          <w:b/>
          <w:lang w:eastAsia="sr-Latn-CS"/>
        </w:rPr>
      </w:pPr>
      <w:r w:rsidRPr="002B240D">
        <w:rPr>
          <w:rFonts w:ascii="Cambria" w:eastAsia="Times New Roman" w:hAnsi="Cambria" w:cs="Helvetica"/>
          <w:b/>
          <w:lang w:eastAsia="sr-Latn-CS"/>
        </w:rPr>
        <w:t>Within the project</w:t>
      </w:r>
      <w:r w:rsidRPr="002B240D">
        <w:rPr>
          <w:rFonts w:ascii="Cambria" w:eastAsia="Times New Roman" w:hAnsi="Cambria" w:cs="Helvetica"/>
          <w:b/>
          <w:vertAlign w:val="superscript"/>
          <w:lang w:eastAsia="sr-Latn-CS"/>
        </w:rPr>
        <w:footnoteReference w:id="1"/>
      </w:r>
      <w:r w:rsidRPr="002B240D">
        <w:rPr>
          <w:rFonts w:ascii="Cambria" w:eastAsia="Times New Roman" w:hAnsi="Cambria" w:cs="Helvetica"/>
          <w:b/>
          <w:lang w:eastAsia="sr-Latn-CS"/>
        </w:rPr>
        <w:t xml:space="preserve">, Transparency Serbia monitored what type of violations of anti-corruption legislation independent bodies observed, which mechanisms for sanctioning were initiated, how magistrate's courts and public prosecutor's offices acted and how the media reported on it. </w:t>
      </w:r>
    </w:p>
    <w:p w:rsidR="00AE2771" w:rsidRPr="002B240D" w:rsidRDefault="00AE2771" w:rsidP="00AE2771">
      <w:pPr>
        <w:spacing w:after="0" w:line="240" w:lineRule="auto"/>
        <w:jc w:val="both"/>
        <w:rPr>
          <w:rFonts w:ascii="Cambria" w:eastAsia="Times New Roman" w:hAnsi="Cambria" w:cs="Helvetica"/>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The gathered and analyzed data refers to the years 2011, 2012 and 2013.</w:t>
      </w:r>
    </w:p>
    <w:p w:rsidR="00AE2771" w:rsidRPr="002B240D" w:rsidRDefault="00AE2771" w:rsidP="00AE2771">
      <w:pPr>
        <w:spacing w:after="0" w:line="240" w:lineRule="auto"/>
        <w:rPr>
          <w:rFonts w:ascii="Cambria" w:eastAsia="Times New Roman" w:hAnsi="Cambria" w:cs="Helvetica"/>
          <w:shd w:val="clear" w:color="auto" w:fill="FFFFFF"/>
          <w:lang w:eastAsia="sr-Latn-CS"/>
        </w:rPr>
      </w:pPr>
    </w:p>
    <w:p w:rsidR="00AE2771" w:rsidRPr="002B240D" w:rsidRDefault="00AE2771" w:rsidP="00AE2771">
      <w:pPr>
        <w:spacing w:after="0" w:line="240" w:lineRule="auto"/>
        <w:rPr>
          <w:rFonts w:ascii="Cambria" w:eastAsia="Times New Roman" w:hAnsi="Cambria" w:cs="Helvetica"/>
          <w:b/>
          <w:shd w:val="clear" w:color="auto" w:fill="FFFFFF"/>
          <w:lang w:eastAsia="sr-Latn-CS"/>
        </w:rPr>
      </w:pPr>
    </w:p>
    <w:p w:rsidR="00AE2771" w:rsidRPr="002B240D" w:rsidRDefault="00AE2771" w:rsidP="00AE2771">
      <w:pPr>
        <w:spacing w:after="0" w:line="240" w:lineRule="auto"/>
        <w:rPr>
          <w:rFonts w:ascii="Cambria" w:eastAsia="Times New Roman" w:hAnsi="Cambria" w:cs="Helvetica"/>
          <w:b/>
          <w:shd w:val="clear" w:color="auto" w:fill="FFFFFF"/>
          <w:lang w:eastAsia="sr-Latn-CS"/>
        </w:rPr>
      </w:pPr>
      <w:r w:rsidRPr="002B240D">
        <w:rPr>
          <w:rFonts w:ascii="Cambria" w:eastAsia="Times New Roman" w:hAnsi="Cambria" w:cs="Helvetica"/>
          <w:b/>
          <w:shd w:val="clear" w:color="auto" w:fill="FFFFFF"/>
          <w:lang w:eastAsia="sr-Latn-CS"/>
        </w:rPr>
        <w:t>Misdemeanor Proceedings</w:t>
      </w:r>
    </w:p>
    <w:p w:rsidR="00AE2771" w:rsidRPr="002B240D" w:rsidRDefault="00AE2771" w:rsidP="00AE2771">
      <w:pPr>
        <w:spacing w:after="0" w:line="240" w:lineRule="auto"/>
        <w:rPr>
          <w:rFonts w:ascii="Cambria" w:eastAsia="Times New Roman" w:hAnsi="Cambria" w:cs="Helvetica"/>
          <w:shd w:val="clear" w:color="auto" w:fill="FFFFFF"/>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lastRenderedPageBreak/>
        <w:t>Within the project, the requ</w:t>
      </w:r>
      <w:r w:rsidR="00221F37">
        <w:rPr>
          <w:rFonts w:ascii="Cambria" w:eastAsia="Times New Roman" w:hAnsi="Cambria" w:cs="Helvetica"/>
          <w:lang w:eastAsia="sr-Latn-CS"/>
        </w:rPr>
        <w:t>ests</w:t>
      </w:r>
      <w:r w:rsidRPr="002B240D">
        <w:rPr>
          <w:rFonts w:ascii="Cambria" w:eastAsia="Times New Roman" w:hAnsi="Cambria" w:cs="Helvetica"/>
          <w:lang w:eastAsia="sr-Latn-CS"/>
        </w:rPr>
        <w:t xml:space="preserve"> for initiating misdemeanor proceedings that the State Audit Institution (SAI), the Anti-corruption Agency (Agency) and the Commissioner for Information of Public Importance and Personal Data Protection (Commissioner) filed were analyzed. </w:t>
      </w:r>
    </w:p>
    <w:p w:rsidR="00AE2771" w:rsidRPr="002B240D" w:rsidRDefault="00AE2771" w:rsidP="00AE2771">
      <w:pPr>
        <w:spacing w:after="0" w:line="240" w:lineRule="auto"/>
        <w:jc w:val="both"/>
        <w:rPr>
          <w:rFonts w:ascii="Cambria" w:eastAsia="Times New Roman" w:hAnsi="Cambria" w:cs="Helvetica"/>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 xml:space="preserve">In the observed period, the Agency, SAI and the Commissioner filed 993 </w:t>
      </w:r>
      <w:r w:rsidR="0077205F">
        <w:rPr>
          <w:rFonts w:ascii="Cambria" w:eastAsia="Times New Roman" w:hAnsi="Cambria" w:cs="Helvetica"/>
          <w:lang w:eastAsia="sr-Latn-CS"/>
        </w:rPr>
        <w:t>requests</w:t>
      </w:r>
      <w:r w:rsidRPr="002B240D">
        <w:rPr>
          <w:rFonts w:ascii="Cambria" w:eastAsia="Times New Roman" w:hAnsi="Cambria" w:cs="Helvetica"/>
          <w:lang w:eastAsia="sr-Latn-CS"/>
        </w:rPr>
        <w:t>, and only 177 have been resolved.</w:t>
      </w:r>
    </w:p>
    <w:p w:rsidR="00AE2771" w:rsidRPr="002B240D" w:rsidRDefault="00AE2771" w:rsidP="00AE2771">
      <w:pPr>
        <w:spacing w:after="0" w:line="240" w:lineRule="auto"/>
        <w:rPr>
          <w:rFonts w:ascii="Cambria" w:eastAsia="Times New Roman" w:hAnsi="Cambria" w:cs="Helvetica"/>
          <w:lang w:eastAsia="sr-Latn-CS"/>
        </w:rPr>
      </w:pPr>
    </w:p>
    <w:p w:rsidR="00AE2771" w:rsidRPr="002B240D" w:rsidRDefault="00AE2771" w:rsidP="00AE2771">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Table 1: Review of filed </w:t>
      </w:r>
      <w:r>
        <w:rPr>
          <w:rFonts w:ascii="Cambria" w:eastAsia="Times New Roman" w:hAnsi="Cambria" w:cs="Helvetica"/>
          <w:lang w:eastAsia="sr-Latn-CS"/>
        </w:rPr>
        <w:t>requests for</w:t>
      </w:r>
      <w:r w:rsidRPr="002B240D">
        <w:rPr>
          <w:rFonts w:ascii="Cambria" w:eastAsia="Times New Roman" w:hAnsi="Cambria" w:cs="Helvetica"/>
          <w:lang w:eastAsia="sr-Latn-CS"/>
        </w:rPr>
        <w:t xml:space="preserve"> misdemeanor </w:t>
      </w:r>
      <w:r>
        <w:rPr>
          <w:rFonts w:ascii="Cambria" w:eastAsia="Times New Roman" w:hAnsi="Cambria" w:cs="Helvetica"/>
          <w:lang w:eastAsia="sr-Latn-CS"/>
        </w:rPr>
        <w:t>proceedings and resolved cases</w:t>
      </w:r>
      <w:r w:rsidRPr="002B240D">
        <w:rPr>
          <w:rFonts w:ascii="Cambria" w:eastAsia="Times New Roman" w:hAnsi="Cambria" w:cs="Helvetica"/>
          <w:lang w:eastAsia="sr-Latn-CS"/>
        </w:rPr>
        <w:t xml:space="preserve"> by years</w:t>
      </w:r>
    </w:p>
    <w:p w:rsidR="00AE2771" w:rsidRPr="002B240D" w:rsidRDefault="00AE2771" w:rsidP="00AE2771">
      <w:pPr>
        <w:spacing w:after="0" w:line="240" w:lineRule="auto"/>
        <w:rPr>
          <w:rFonts w:ascii="Cambria" w:eastAsia="Times New Roman" w:hAnsi="Cambria" w:cs="Helvetica"/>
          <w:lang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1170"/>
        <w:gridCol w:w="1451"/>
        <w:gridCol w:w="1207"/>
        <w:gridCol w:w="1207"/>
        <w:gridCol w:w="1085"/>
        <w:gridCol w:w="900"/>
      </w:tblGrid>
      <w:tr w:rsidR="00AE2771" w:rsidRPr="002B240D" w:rsidTr="00CF189F">
        <w:trPr>
          <w:gridAfter w:val="1"/>
          <w:wAfter w:w="900" w:type="dxa"/>
        </w:trPr>
        <w:tc>
          <w:tcPr>
            <w:tcW w:w="1188" w:type="dxa"/>
            <w:vMerge w:val="restart"/>
            <w:shd w:val="clear" w:color="auto" w:fill="auto"/>
          </w:tcPr>
          <w:p w:rsidR="00AE2771" w:rsidRPr="002B240D" w:rsidRDefault="00AE2771" w:rsidP="0077205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 xml:space="preserve">Filed and resolved </w:t>
            </w:r>
            <w:r w:rsidR="0077205F">
              <w:rPr>
                <w:rFonts w:ascii="Cambria" w:eastAsia="Times New Roman" w:hAnsi="Cambria" w:cs="Helvetica"/>
                <w:lang w:eastAsia="sr-Latn-CS"/>
              </w:rPr>
              <w:t>requests</w:t>
            </w:r>
            <w:r w:rsidRPr="002B240D">
              <w:rPr>
                <w:rFonts w:ascii="Cambria" w:eastAsia="Times New Roman" w:hAnsi="Cambria" w:cs="Helvetica"/>
                <w:lang w:eastAsia="sr-Latn-CS"/>
              </w:rPr>
              <w:t xml:space="preserve"> by years</w:t>
            </w:r>
          </w:p>
        </w:tc>
        <w:tc>
          <w:tcPr>
            <w:tcW w:w="2250" w:type="dxa"/>
            <w:gridSpan w:val="2"/>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Agency</w:t>
            </w:r>
          </w:p>
        </w:tc>
        <w:tc>
          <w:tcPr>
            <w:tcW w:w="2658" w:type="dxa"/>
            <w:gridSpan w:val="2"/>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SAI</w:t>
            </w:r>
          </w:p>
        </w:tc>
        <w:tc>
          <w:tcPr>
            <w:tcW w:w="2292" w:type="dxa"/>
            <w:gridSpan w:val="2"/>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Commissioners</w:t>
            </w:r>
          </w:p>
        </w:tc>
      </w:tr>
      <w:tr w:rsidR="00AE2771" w:rsidRPr="002B240D" w:rsidTr="00CF189F">
        <w:trPr>
          <w:gridAfter w:val="1"/>
          <w:wAfter w:w="900" w:type="dxa"/>
        </w:trPr>
        <w:tc>
          <w:tcPr>
            <w:tcW w:w="1188" w:type="dxa"/>
            <w:vMerge/>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p>
        </w:tc>
        <w:tc>
          <w:tcPr>
            <w:tcW w:w="1080"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 xml:space="preserve">Filed </w:t>
            </w:r>
            <w:r w:rsidR="0077205F">
              <w:rPr>
                <w:rFonts w:ascii="Cambria" w:eastAsia="Times New Roman" w:hAnsi="Cambria" w:cs="Helvetica"/>
                <w:lang w:eastAsia="sr-Latn-CS"/>
              </w:rPr>
              <w:t>requests</w:t>
            </w:r>
          </w:p>
        </w:tc>
        <w:tc>
          <w:tcPr>
            <w:tcW w:w="1170"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 xml:space="preserve">Resolved </w:t>
            </w:r>
          </w:p>
        </w:tc>
        <w:tc>
          <w:tcPr>
            <w:tcW w:w="1451"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 xml:space="preserve">Filed </w:t>
            </w:r>
            <w:r w:rsidR="0077205F">
              <w:rPr>
                <w:rFonts w:ascii="Cambria" w:eastAsia="Times New Roman" w:hAnsi="Cambria" w:cs="Helvetica"/>
                <w:lang w:eastAsia="sr-Latn-CS"/>
              </w:rPr>
              <w:t>requests</w:t>
            </w:r>
          </w:p>
        </w:tc>
        <w:tc>
          <w:tcPr>
            <w:tcW w:w="1207"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 xml:space="preserve">Resolved </w:t>
            </w:r>
          </w:p>
        </w:tc>
        <w:tc>
          <w:tcPr>
            <w:tcW w:w="1207"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 xml:space="preserve">Filed </w:t>
            </w:r>
            <w:r w:rsidR="0077205F">
              <w:rPr>
                <w:rFonts w:ascii="Cambria" w:eastAsia="Times New Roman" w:hAnsi="Cambria" w:cs="Helvetica"/>
                <w:lang w:eastAsia="sr-Latn-CS"/>
              </w:rPr>
              <w:t>requests</w:t>
            </w:r>
          </w:p>
        </w:tc>
        <w:tc>
          <w:tcPr>
            <w:tcW w:w="1085"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 xml:space="preserve">Resolved </w:t>
            </w:r>
          </w:p>
        </w:tc>
      </w:tr>
      <w:tr w:rsidR="00AE2771" w:rsidRPr="002B240D" w:rsidTr="00CF189F">
        <w:trPr>
          <w:gridAfter w:val="1"/>
          <w:wAfter w:w="900" w:type="dxa"/>
        </w:trPr>
        <w:tc>
          <w:tcPr>
            <w:tcW w:w="1188"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2011</w:t>
            </w:r>
          </w:p>
        </w:tc>
        <w:tc>
          <w:tcPr>
            <w:tcW w:w="1080"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19</w:t>
            </w:r>
          </w:p>
        </w:tc>
        <w:tc>
          <w:tcPr>
            <w:tcW w:w="1170"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15</w:t>
            </w:r>
          </w:p>
        </w:tc>
        <w:tc>
          <w:tcPr>
            <w:tcW w:w="1451"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29</w:t>
            </w:r>
          </w:p>
        </w:tc>
        <w:tc>
          <w:tcPr>
            <w:tcW w:w="1207"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17</w:t>
            </w:r>
          </w:p>
        </w:tc>
        <w:tc>
          <w:tcPr>
            <w:tcW w:w="1207"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27</w:t>
            </w:r>
          </w:p>
        </w:tc>
        <w:tc>
          <w:tcPr>
            <w:tcW w:w="1085"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24</w:t>
            </w:r>
          </w:p>
        </w:tc>
      </w:tr>
      <w:tr w:rsidR="00AE2771" w:rsidRPr="002B240D" w:rsidTr="00CF189F">
        <w:trPr>
          <w:gridAfter w:val="1"/>
          <w:wAfter w:w="900" w:type="dxa"/>
        </w:trPr>
        <w:tc>
          <w:tcPr>
            <w:tcW w:w="1188"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2012</w:t>
            </w:r>
          </w:p>
        </w:tc>
        <w:tc>
          <w:tcPr>
            <w:tcW w:w="1080"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35</w:t>
            </w:r>
          </w:p>
        </w:tc>
        <w:tc>
          <w:tcPr>
            <w:tcW w:w="1170"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19</w:t>
            </w:r>
          </w:p>
        </w:tc>
        <w:tc>
          <w:tcPr>
            <w:tcW w:w="1451"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125</w:t>
            </w:r>
          </w:p>
        </w:tc>
        <w:tc>
          <w:tcPr>
            <w:tcW w:w="1207"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26</w:t>
            </w:r>
          </w:p>
        </w:tc>
        <w:tc>
          <w:tcPr>
            <w:tcW w:w="1207"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22</w:t>
            </w:r>
          </w:p>
        </w:tc>
        <w:tc>
          <w:tcPr>
            <w:tcW w:w="1085"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16</w:t>
            </w:r>
          </w:p>
        </w:tc>
      </w:tr>
      <w:tr w:rsidR="00AE2771" w:rsidRPr="002B240D" w:rsidTr="00CF189F">
        <w:trPr>
          <w:gridAfter w:val="1"/>
          <w:wAfter w:w="900" w:type="dxa"/>
        </w:trPr>
        <w:tc>
          <w:tcPr>
            <w:tcW w:w="1188"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 xml:space="preserve">2013 </w:t>
            </w:r>
          </w:p>
        </w:tc>
        <w:tc>
          <w:tcPr>
            <w:tcW w:w="1080"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504</w:t>
            </w:r>
          </w:p>
        </w:tc>
        <w:tc>
          <w:tcPr>
            <w:tcW w:w="1170"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10</w:t>
            </w:r>
          </w:p>
        </w:tc>
        <w:tc>
          <w:tcPr>
            <w:tcW w:w="1451"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205</w:t>
            </w:r>
          </w:p>
        </w:tc>
        <w:tc>
          <w:tcPr>
            <w:tcW w:w="1207"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38</w:t>
            </w:r>
          </w:p>
        </w:tc>
        <w:tc>
          <w:tcPr>
            <w:tcW w:w="1207"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27</w:t>
            </w:r>
          </w:p>
        </w:tc>
        <w:tc>
          <w:tcPr>
            <w:tcW w:w="1085" w:type="dxa"/>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12</w:t>
            </w:r>
          </w:p>
        </w:tc>
      </w:tr>
      <w:tr w:rsidR="00AE2771" w:rsidRPr="002B240D" w:rsidTr="00CF189F">
        <w:tc>
          <w:tcPr>
            <w:tcW w:w="1188" w:type="dxa"/>
            <w:shd w:val="clear" w:color="auto" w:fill="auto"/>
            <w:vAlign w:val="bottom"/>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Total</w:t>
            </w:r>
          </w:p>
        </w:tc>
        <w:tc>
          <w:tcPr>
            <w:tcW w:w="1080" w:type="dxa"/>
            <w:shd w:val="clear" w:color="auto" w:fill="auto"/>
            <w:vAlign w:val="bottom"/>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558</w:t>
            </w:r>
          </w:p>
        </w:tc>
        <w:tc>
          <w:tcPr>
            <w:tcW w:w="1170" w:type="dxa"/>
            <w:shd w:val="clear" w:color="auto" w:fill="auto"/>
            <w:vAlign w:val="bottom"/>
          </w:tcPr>
          <w:p w:rsidR="00AE2771" w:rsidRPr="002B240D" w:rsidRDefault="00AE2771" w:rsidP="00CF189F">
            <w:pPr>
              <w:spacing w:after="0" w:line="240" w:lineRule="auto"/>
              <w:jc w:val="center"/>
              <w:rPr>
                <w:rFonts w:ascii="Cambria" w:eastAsia="Times New Roman" w:hAnsi="Cambria" w:cs="Helvetica"/>
                <w:b/>
                <w:lang w:eastAsia="sr-Latn-CS"/>
              </w:rPr>
            </w:pPr>
          </w:p>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44</w:t>
            </w:r>
          </w:p>
        </w:tc>
        <w:tc>
          <w:tcPr>
            <w:tcW w:w="1451" w:type="dxa"/>
            <w:shd w:val="clear" w:color="auto" w:fill="auto"/>
            <w:vAlign w:val="bottom"/>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359</w:t>
            </w:r>
          </w:p>
        </w:tc>
        <w:tc>
          <w:tcPr>
            <w:tcW w:w="1207" w:type="dxa"/>
            <w:shd w:val="clear" w:color="auto" w:fill="auto"/>
            <w:vAlign w:val="bottom"/>
          </w:tcPr>
          <w:p w:rsidR="00AE2771" w:rsidRPr="002B240D" w:rsidRDefault="00AE2771" w:rsidP="00CF189F">
            <w:pPr>
              <w:spacing w:after="0" w:line="240" w:lineRule="auto"/>
              <w:jc w:val="center"/>
              <w:rPr>
                <w:rFonts w:ascii="Cambria" w:eastAsia="Times New Roman" w:hAnsi="Cambria" w:cs="Helvetica"/>
                <w:b/>
                <w:lang w:eastAsia="sr-Latn-CS"/>
              </w:rPr>
            </w:pPr>
          </w:p>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81</w:t>
            </w:r>
          </w:p>
        </w:tc>
        <w:tc>
          <w:tcPr>
            <w:tcW w:w="1207" w:type="dxa"/>
            <w:shd w:val="clear" w:color="auto" w:fill="auto"/>
            <w:vAlign w:val="bottom"/>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76</w:t>
            </w:r>
          </w:p>
        </w:tc>
        <w:tc>
          <w:tcPr>
            <w:tcW w:w="1085" w:type="dxa"/>
            <w:shd w:val="clear" w:color="auto" w:fill="auto"/>
            <w:vAlign w:val="bottom"/>
          </w:tcPr>
          <w:p w:rsidR="00AE2771" w:rsidRPr="002B240D" w:rsidRDefault="00AE2771" w:rsidP="00CF189F">
            <w:pPr>
              <w:spacing w:after="0" w:line="240" w:lineRule="auto"/>
              <w:jc w:val="center"/>
              <w:rPr>
                <w:rFonts w:ascii="Cambria" w:eastAsia="Times New Roman" w:hAnsi="Cambria" w:cs="Helvetica"/>
                <w:b/>
                <w:lang w:eastAsia="sr-Latn-CS"/>
              </w:rPr>
            </w:pPr>
          </w:p>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52</w:t>
            </w:r>
          </w:p>
        </w:tc>
        <w:tc>
          <w:tcPr>
            <w:tcW w:w="900" w:type="dxa"/>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993</w:t>
            </w:r>
          </w:p>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177</w:t>
            </w:r>
          </w:p>
        </w:tc>
      </w:tr>
    </w:tbl>
    <w:p w:rsidR="00AE2771" w:rsidRPr="002B240D" w:rsidRDefault="00AE2771" w:rsidP="00AE2771">
      <w:pPr>
        <w:spacing w:after="0" w:line="240" w:lineRule="auto"/>
        <w:rPr>
          <w:rFonts w:ascii="Cambria" w:eastAsia="Times New Roman" w:hAnsi="Cambria" w:cs="Helvetica"/>
          <w:lang w:eastAsia="sr-Latn-CS"/>
        </w:rPr>
      </w:pPr>
    </w:p>
    <w:p w:rsidR="00AE2771" w:rsidRDefault="00AE2771" w:rsidP="00AE2771">
      <w:pPr>
        <w:spacing w:after="0" w:line="240" w:lineRule="auto"/>
        <w:jc w:val="both"/>
        <w:rPr>
          <w:rFonts w:ascii="Cambria" w:eastAsia="Times New Roman" w:hAnsi="Cambria" w:cs="Helvetica"/>
          <w:lang w:eastAsia="sr-Latn-CS"/>
        </w:rPr>
      </w:pPr>
      <w:r>
        <w:rPr>
          <w:rFonts w:ascii="Cambria" w:eastAsia="Times New Roman" w:hAnsi="Cambria" w:cs="Helvetica"/>
          <w:lang w:eastAsia="sr-Latn-CS"/>
        </w:rPr>
        <w:t>In total, these three authorities in the observed period filed 993 requests for initiating misdemeanor proceedings of which 177 have been resolved.</w:t>
      </w:r>
    </w:p>
    <w:p w:rsidR="00AE2771" w:rsidRDefault="00AE2771" w:rsidP="00AE2771">
      <w:pPr>
        <w:spacing w:after="0" w:line="240" w:lineRule="auto"/>
        <w:jc w:val="both"/>
        <w:rPr>
          <w:rFonts w:ascii="Cambria" w:eastAsia="Times New Roman" w:hAnsi="Cambria" w:cs="Helvetica"/>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 xml:space="preserve">It is important to indicate a few factors that significantly influenced the number of filed </w:t>
      </w:r>
      <w:r>
        <w:rPr>
          <w:rFonts w:ascii="Cambria" w:eastAsia="Times New Roman" w:hAnsi="Cambria" w:cs="Helvetica"/>
          <w:lang w:eastAsia="sr-Latn-CS"/>
        </w:rPr>
        <w:t>requests</w:t>
      </w:r>
      <w:r w:rsidRPr="002B240D">
        <w:rPr>
          <w:rFonts w:ascii="Cambria" w:eastAsia="Times New Roman" w:hAnsi="Cambria" w:cs="Helvetica"/>
          <w:lang w:eastAsia="sr-Latn-CS"/>
        </w:rPr>
        <w:t>.</w:t>
      </w: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 xml:space="preserve"> </w:t>
      </w: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 xml:space="preserve">SAI has, with the strengthening of its capacities, from 2012 significantly grown and the number of audited institutions, or rather audits, has also grown, therefore the number of </w:t>
      </w:r>
      <w:r>
        <w:rPr>
          <w:rFonts w:ascii="Cambria" w:eastAsia="Times New Roman" w:hAnsi="Cambria" w:cs="Helvetica"/>
          <w:lang w:eastAsia="sr-Latn-CS"/>
        </w:rPr>
        <w:t>misdemeanor proceedings initiated</w:t>
      </w:r>
      <w:r w:rsidRPr="002B240D">
        <w:rPr>
          <w:rFonts w:ascii="Cambria" w:eastAsia="Times New Roman" w:hAnsi="Cambria" w:cs="Helvetica"/>
          <w:lang w:eastAsia="sr-Latn-CS"/>
        </w:rPr>
        <w:t xml:space="preserve"> </w:t>
      </w:r>
      <w:r>
        <w:rPr>
          <w:rFonts w:ascii="Cambria" w:eastAsia="Times New Roman" w:hAnsi="Cambria" w:cs="Helvetica"/>
          <w:lang w:eastAsia="sr-Latn-CS"/>
        </w:rPr>
        <w:t>has also</w:t>
      </w:r>
      <w:r w:rsidRPr="002B240D">
        <w:rPr>
          <w:rFonts w:ascii="Cambria" w:eastAsia="Times New Roman" w:hAnsi="Cambria" w:cs="Helvetica"/>
          <w:lang w:eastAsia="sr-Latn-CS"/>
        </w:rPr>
        <w:t xml:space="preserve"> increased. </w:t>
      </w:r>
    </w:p>
    <w:p w:rsidR="00AE2771" w:rsidRPr="002B240D" w:rsidRDefault="00AE2771" w:rsidP="00AE2771">
      <w:pPr>
        <w:spacing w:after="0" w:line="240" w:lineRule="auto"/>
        <w:jc w:val="both"/>
        <w:rPr>
          <w:rFonts w:ascii="Cambria" w:eastAsia="Times New Roman" w:hAnsi="Cambria" w:cs="Helvetica"/>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 xml:space="preserve">Also, 2012 was an election year, and after long delays, and the changes in the Anti-corruption Agency itself, at the end of 2012 and the beginning of 2013 there were intensive efforts to sanction </w:t>
      </w:r>
      <w:r>
        <w:rPr>
          <w:rFonts w:ascii="Cambria" w:eastAsia="Times New Roman" w:hAnsi="Cambria" w:cs="Helvetica"/>
          <w:lang w:eastAsia="sr-Latn-CS"/>
        </w:rPr>
        <w:t xml:space="preserve">political </w:t>
      </w:r>
      <w:r w:rsidRPr="002B240D">
        <w:rPr>
          <w:rFonts w:ascii="Cambria" w:eastAsia="Times New Roman" w:hAnsi="Cambria" w:cs="Helvetica"/>
          <w:lang w:eastAsia="sr-Latn-CS"/>
        </w:rPr>
        <w:t xml:space="preserve">parties for failure to submit reports on the financing of election campaigns. The vast majority of these </w:t>
      </w:r>
      <w:r>
        <w:rPr>
          <w:rFonts w:ascii="Cambria" w:eastAsia="Times New Roman" w:hAnsi="Cambria" w:cs="Helvetica"/>
          <w:lang w:eastAsia="sr-Latn-CS"/>
        </w:rPr>
        <w:t>requests</w:t>
      </w:r>
      <w:r w:rsidRPr="002B240D">
        <w:rPr>
          <w:rFonts w:ascii="Cambria" w:eastAsia="Times New Roman" w:hAnsi="Cambria" w:cs="Helvetica"/>
          <w:lang w:eastAsia="sr-Latn-CS"/>
        </w:rPr>
        <w:t xml:space="preserve"> were filed during 2013 and magistrate's courts in the period, when the manner of handling the cases was analyzed (September and December 2013), did not resolve these cases.</w:t>
      </w:r>
    </w:p>
    <w:p w:rsidR="00AE2771" w:rsidRPr="002B240D" w:rsidRDefault="00AE2771" w:rsidP="00AE2771">
      <w:pPr>
        <w:spacing w:after="0" w:line="240" w:lineRule="auto"/>
        <w:rPr>
          <w:rFonts w:ascii="Times New Roman" w:eastAsia="Times New Roman" w:hAnsi="Times New Roman" w:cs="Times New Roman"/>
          <w:sz w:val="24"/>
          <w:szCs w:val="24"/>
          <w:lang w:eastAsia="sr-Latn-CS"/>
        </w:rPr>
      </w:pPr>
    </w:p>
    <w:p w:rsidR="00AE2771" w:rsidRPr="002B240D" w:rsidRDefault="00AE2771" w:rsidP="00AE2771">
      <w:pPr>
        <w:spacing w:after="0" w:line="240" w:lineRule="auto"/>
        <w:jc w:val="both"/>
        <w:rPr>
          <w:rFonts w:ascii="Cambria" w:eastAsia="Times New Roman" w:hAnsi="Cambria" w:cs="Helvetica"/>
          <w:b/>
          <w:lang w:eastAsia="sr-Latn-CS"/>
        </w:rPr>
      </w:pPr>
      <w:r w:rsidRPr="002B240D">
        <w:rPr>
          <w:rFonts w:ascii="Cambria" w:eastAsia="Times New Roman" w:hAnsi="Cambria" w:cs="Helvetica"/>
          <w:b/>
          <w:lang w:eastAsia="sr-Latn-CS"/>
        </w:rPr>
        <w:t xml:space="preserve">The analysis shows that the efficiency of handling the cases in the first instance is one of the biggest problems in the chain of prosecuting violations of anti-corruption laws which are under the competence of independent bodies. The proceedings often last a very long time, and not rarely, the cases are dismissed due to </w:t>
      </w:r>
      <w:r w:rsidRPr="002B240D">
        <w:rPr>
          <w:rFonts w:ascii="Cambria" w:eastAsia="Times New Roman" w:hAnsi="Cambria" w:cs="Times New Roman"/>
          <w:b/>
        </w:rPr>
        <w:t>the statute of limitations</w:t>
      </w:r>
      <w:r w:rsidRPr="002B240D">
        <w:rPr>
          <w:rFonts w:ascii="Cambria" w:eastAsia="Times New Roman" w:hAnsi="Cambria" w:cs="Helvetica"/>
          <w:b/>
          <w:lang w:eastAsia="sr-Latn-CS"/>
        </w:rPr>
        <w:t xml:space="preserve">. </w:t>
      </w:r>
      <w:r w:rsidRPr="002B240D">
        <w:rPr>
          <w:rFonts w:ascii="Cambria" w:eastAsia="Times New Roman" w:hAnsi="Cambria" w:cs="Times New Roman"/>
        </w:rPr>
        <w:t xml:space="preserve">The statute of limitations </w:t>
      </w:r>
      <w:r w:rsidRPr="002B240D">
        <w:rPr>
          <w:rFonts w:ascii="Cambria" w:eastAsia="Times New Roman" w:hAnsi="Cambria" w:cs="Helvetica"/>
          <w:lang w:eastAsia="sr-Latn-CS"/>
        </w:rPr>
        <w:t xml:space="preserve">should be resolved in some cases after the amendment of the Law on Misdemeanors and the adoption of new laws on financing political activities and </w:t>
      </w:r>
      <w:r w:rsidRPr="00684FF6">
        <w:rPr>
          <w:rFonts w:ascii="Cambria" w:eastAsia="Times New Roman" w:hAnsi="Cambria" w:cs="Helvetica"/>
          <w:lang w:eastAsia="sr-Latn-CS"/>
        </w:rPr>
        <w:t xml:space="preserve">public procurement. The problem is, however, </w:t>
      </w:r>
      <w:r w:rsidR="00684FF6" w:rsidRPr="00684FF6">
        <w:rPr>
          <w:rFonts w:ascii="Cambria" w:eastAsia="Times New Roman" w:hAnsi="Cambria" w:cs="Helvetica"/>
          <w:lang w:eastAsia="sr-Latn-CS"/>
        </w:rPr>
        <w:t>that</w:t>
      </w:r>
      <w:r w:rsidRPr="00684FF6">
        <w:rPr>
          <w:rFonts w:ascii="Cambria" w:eastAsia="Times New Roman" w:hAnsi="Cambria" w:cs="Helvetica"/>
          <w:lang w:eastAsia="sr-Latn-CS"/>
        </w:rPr>
        <w:t xml:space="preserve"> the statute of limitations remained unchanged in the case of violations of the Law on the Anti-Corruption Agency and the Law on Personal Data Protection.</w:t>
      </w:r>
      <w:r w:rsidRPr="002B240D">
        <w:rPr>
          <w:rFonts w:ascii="Cambria" w:eastAsia="Times New Roman" w:hAnsi="Cambria" w:cs="Helvetica"/>
          <w:lang w:eastAsia="sr-Latn-CS"/>
        </w:rPr>
        <w:t xml:space="preserve"> For the final evaluation of what the reason for the slow proceedings is, it would be necessary to analyze the entire work of magistrate's courts, the workload of judges, which is beyond the scope of this project</w:t>
      </w:r>
      <w:r w:rsidRPr="002B240D">
        <w:rPr>
          <w:rFonts w:ascii="Cambria" w:eastAsia="Times New Roman" w:hAnsi="Cambria" w:cs="Helvetica"/>
          <w:b/>
          <w:lang w:eastAsia="sr-Latn-CS"/>
        </w:rPr>
        <w:t>.</w:t>
      </w:r>
    </w:p>
    <w:p w:rsidR="00AE2771" w:rsidRPr="002B240D" w:rsidRDefault="00AE2771" w:rsidP="00AE2771">
      <w:pPr>
        <w:spacing w:after="0" w:line="240" w:lineRule="auto"/>
        <w:jc w:val="both"/>
        <w:rPr>
          <w:rFonts w:ascii="Cambria" w:eastAsia="Times New Roman" w:hAnsi="Cambria" w:cs="Helvetica"/>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 xml:space="preserve">The analysis of the observed cases of extremely long proceedings in cases where </w:t>
      </w:r>
      <w:r w:rsidR="0077205F">
        <w:rPr>
          <w:rFonts w:ascii="Cambria" w:eastAsia="Times New Roman" w:hAnsi="Cambria" w:cs="Helvetica"/>
          <w:lang w:eastAsia="sr-Latn-CS"/>
        </w:rPr>
        <w:t>requests</w:t>
      </w:r>
      <w:r w:rsidR="0077205F" w:rsidRPr="002B240D">
        <w:rPr>
          <w:rFonts w:ascii="Cambria" w:eastAsia="Times New Roman" w:hAnsi="Cambria" w:cs="Helvetica"/>
          <w:lang w:eastAsia="sr-Latn-CS"/>
        </w:rPr>
        <w:t xml:space="preserve"> </w:t>
      </w:r>
      <w:r w:rsidRPr="002B240D">
        <w:rPr>
          <w:rFonts w:ascii="Cambria" w:eastAsia="Times New Roman" w:hAnsi="Cambria" w:cs="Helvetica"/>
          <w:lang w:eastAsia="sr-Latn-CS"/>
        </w:rPr>
        <w:t xml:space="preserve">were filed </w:t>
      </w:r>
      <w:r>
        <w:rPr>
          <w:rFonts w:ascii="Cambria" w:eastAsia="Times New Roman" w:hAnsi="Cambria" w:cs="Helvetica"/>
          <w:lang w:eastAsia="sr-Latn-CS"/>
        </w:rPr>
        <w:t>concerned ministers and other public officials</w:t>
      </w:r>
      <w:r w:rsidRPr="002B240D">
        <w:rPr>
          <w:rFonts w:ascii="Cambria" w:eastAsia="Times New Roman" w:hAnsi="Cambria" w:cs="Helvetica"/>
          <w:lang w:eastAsia="sr-Latn-CS"/>
        </w:rPr>
        <w:t xml:space="preserve"> (Rasim Ljajić 30 months without trial, Saša Dragin</w:t>
      </w:r>
      <w:r>
        <w:rPr>
          <w:rFonts w:ascii="Cambria" w:eastAsia="Times New Roman" w:hAnsi="Cambria" w:cs="Helvetica"/>
          <w:lang w:eastAsia="sr-Latn-CS"/>
        </w:rPr>
        <w:t xml:space="preserve"> – the case was</w:t>
      </w:r>
      <w:r w:rsidRPr="002B240D">
        <w:rPr>
          <w:rFonts w:ascii="Cambria" w:eastAsia="Times New Roman" w:hAnsi="Cambria" w:cs="Helvetica"/>
          <w:lang w:eastAsia="sr-Latn-CS"/>
        </w:rPr>
        <w:t xml:space="preserve"> resolved after 27 months, Božidar Đelić freed after 22 months, Dragan Marković Palma</w:t>
      </w:r>
      <w:r>
        <w:rPr>
          <w:rFonts w:ascii="Cambria" w:eastAsia="Times New Roman" w:hAnsi="Cambria" w:cs="Helvetica"/>
          <w:lang w:eastAsia="sr-Latn-CS"/>
        </w:rPr>
        <w:t>, the case</w:t>
      </w:r>
      <w:r w:rsidRPr="002B240D">
        <w:rPr>
          <w:rFonts w:ascii="Cambria" w:eastAsia="Times New Roman" w:hAnsi="Cambria" w:cs="Helvetica"/>
          <w:lang w:eastAsia="sr-Latn-CS"/>
        </w:rPr>
        <w:t xml:space="preserve"> has not been resolved for 18 months).</w:t>
      </w:r>
    </w:p>
    <w:p w:rsidR="00AE2771" w:rsidRPr="002B240D" w:rsidRDefault="00AE2771" w:rsidP="00AE2771">
      <w:pPr>
        <w:spacing w:after="0" w:line="240" w:lineRule="auto"/>
        <w:jc w:val="both"/>
        <w:rPr>
          <w:rFonts w:ascii="Cambria" w:eastAsia="Times New Roman" w:hAnsi="Cambria" w:cs="Helvetica"/>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b/>
          <w:lang w:eastAsia="sr-Latn-CS"/>
        </w:rPr>
        <w:t>There has been a number of procedural issues, such as the inability to deliver the summons to the defendant for trial</w:t>
      </w:r>
      <w:r w:rsidRPr="002B240D">
        <w:rPr>
          <w:rFonts w:ascii="Cambria" w:eastAsia="Times New Roman" w:hAnsi="Cambria" w:cs="Helvetica"/>
          <w:lang w:eastAsia="sr-Latn-CS"/>
        </w:rPr>
        <w:t xml:space="preserve">. The situation where the filed charges become obsolete due to the fact that the defendant, who is a Member of Parliament, was unavailable to the court or the hearing could not be held </w:t>
      </w:r>
      <w:r w:rsidRPr="002B240D">
        <w:rPr>
          <w:rFonts w:ascii="Cambria" w:eastAsia="Times New Roman" w:hAnsi="Cambria" w:cs="Helvetica"/>
          <w:lang w:eastAsia="sr-Latn-CS"/>
        </w:rPr>
        <w:lastRenderedPageBreak/>
        <w:t>because the President of the Municipality did not collect the summons for the trial at the post office after the postman left “a notice to collect a delivery in the PTT service“</w:t>
      </w:r>
      <w:r>
        <w:rPr>
          <w:rFonts w:ascii="Cambria" w:eastAsia="Times New Roman" w:hAnsi="Cambria" w:cs="Helvetica"/>
          <w:lang w:eastAsia="sr-Latn-CS"/>
        </w:rPr>
        <w:t xml:space="preserve"> </w:t>
      </w:r>
      <w:r w:rsidRPr="002B240D">
        <w:rPr>
          <w:rFonts w:ascii="Cambria" w:eastAsia="Times New Roman" w:hAnsi="Cambria" w:cs="Helvetica"/>
          <w:lang w:eastAsia="sr-Latn-CS"/>
        </w:rPr>
        <w:t>in his mailbox.</w:t>
      </w:r>
    </w:p>
    <w:p w:rsidR="00AE2771" w:rsidRPr="002B240D" w:rsidRDefault="00AE2771" w:rsidP="00AE2771">
      <w:pPr>
        <w:spacing w:after="0" w:line="240" w:lineRule="auto"/>
        <w:rPr>
          <w:rFonts w:ascii="Times New Roman" w:eastAsia="Times New Roman" w:hAnsi="Times New Roman" w:cs="Times New Roman"/>
          <w:sz w:val="24"/>
          <w:szCs w:val="24"/>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p>
    <w:p w:rsidR="00AE2771" w:rsidRPr="002B240D" w:rsidRDefault="00AE2771" w:rsidP="00AE2771">
      <w:pPr>
        <w:spacing w:after="0" w:line="240" w:lineRule="auto"/>
        <w:jc w:val="both"/>
        <w:rPr>
          <w:rFonts w:ascii="Cambria" w:eastAsia="Times New Roman" w:hAnsi="Cambria" w:cs="Helvetica"/>
          <w:b/>
          <w:lang w:eastAsia="sr-Latn-CS"/>
        </w:rPr>
      </w:pPr>
      <w:r w:rsidRPr="002B240D">
        <w:rPr>
          <w:rFonts w:ascii="Cambria" w:eastAsia="Times New Roman" w:hAnsi="Cambria" w:cs="Helvetica"/>
          <w:b/>
          <w:lang w:eastAsia="sr-Latn-CS"/>
        </w:rPr>
        <w:t>Anti-corruption Agency</w:t>
      </w:r>
    </w:p>
    <w:p w:rsidR="00AE2771" w:rsidRPr="00D06F1D" w:rsidRDefault="00AE2771" w:rsidP="00D06F1D">
      <w:pPr>
        <w:spacing w:before="100" w:beforeAutospacing="1" w:after="100" w:afterAutospacing="1" w:line="240" w:lineRule="auto"/>
        <w:jc w:val="both"/>
        <w:rPr>
          <w:rFonts w:ascii="Times New Roman" w:eastAsia="Times New Roman" w:hAnsi="Times New Roman" w:cs="Times New Roman"/>
          <w:sz w:val="24"/>
          <w:szCs w:val="24"/>
        </w:rPr>
      </w:pPr>
      <w:r w:rsidRPr="002B240D">
        <w:rPr>
          <w:rFonts w:ascii="Cambria" w:eastAsia="Times New Roman" w:hAnsi="Cambria" w:cs="Times New Roman"/>
        </w:rPr>
        <w:t xml:space="preserve">The Anti-corruption Agency is an independent state authority, established by the Law on the Anti-corruption Agency, with competences in many anti-corruption areas – party financing, conflict of interest, supervision of the application of the anti-corruption strategy and other. The Agency is still lacking capacities, and in the previous period faced internal problems (organizational and strategic). In the past, despite numerous cases that were pointed out in the public, a very small number of misdemeanor charges were filed against political parties and the majority of filed charges became obsolete during the proceedings in the magistrate’s courts. In some cases from previous years, the Agency practically demonstrated tolerance towards violating the Law in areas under its competence (i.e. regarding (not) initiating proceedings for violating obligations to report the participation of an official’s company in a public procurement procedure). We also monitored the intensity of the activities of this state authority for sanctioning the observed misdemeanors within this project. In the beginning of 2013, the Agency initiated the coordination and closer cooperation with other anti-corruption authorities, including magistrate’s courts and prosecutor’s </w:t>
      </w:r>
      <w:proofErr w:type="gramStart"/>
      <w:r w:rsidRPr="002B240D">
        <w:rPr>
          <w:rFonts w:ascii="Cambria" w:eastAsia="Times New Roman" w:hAnsi="Cambria" w:cs="Times New Roman"/>
        </w:rPr>
        <w:t>offices,</w:t>
      </w:r>
      <w:proofErr w:type="gramEnd"/>
      <w:r w:rsidRPr="002B240D">
        <w:rPr>
          <w:rFonts w:ascii="Cambria" w:eastAsia="Times New Roman" w:hAnsi="Cambria" w:cs="Times New Roman"/>
        </w:rPr>
        <w:t xml:space="preserve"> however the results of this cooperation are yet to be proven in practice.</w:t>
      </w:r>
    </w:p>
    <w:p w:rsidR="00AE2771" w:rsidRPr="002B240D" w:rsidRDefault="00AE2771" w:rsidP="00AE2771">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Table 2: Review of resolved cases by </w:t>
      </w:r>
      <w:r>
        <w:rPr>
          <w:rFonts w:ascii="Cambria" w:eastAsia="Times New Roman" w:hAnsi="Cambria" w:cs="Helvetica"/>
          <w:lang w:eastAsia="sr-Latn-CS"/>
        </w:rPr>
        <w:t>requests</w:t>
      </w:r>
      <w:r w:rsidRPr="002B240D">
        <w:rPr>
          <w:rFonts w:ascii="Cambria" w:eastAsia="Times New Roman" w:hAnsi="Cambria" w:cs="Helvetica"/>
          <w:lang w:eastAsia="sr-Latn-CS"/>
        </w:rPr>
        <w:t xml:space="preserve"> filed by the Anti-corruption Agency </w:t>
      </w:r>
    </w:p>
    <w:p w:rsidR="00AE2771" w:rsidRPr="002B240D" w:rsidRDefault="00AE2771" w:rsidP="00AE2771">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801"/>
        <w:gridCol w:w="801"/>
        <w:gridCol w:w="801"/>
      </w:tblGrid>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b/>
                <w:lang w:eastAsia="sr-Latn-CS"/>
              </w:rPr>
            </w:pPr>
            <w:r w:rsidRPr="002B240D">
              <w:rPr>
                <w:rFonts w:ascii="Cambria" w:eastAsia="Times New Roman" w:hAnsi="Cambria" w:cs="Helvetica"/>
                <w:b/>
                <w:lang w:eastAsia="sr-Latn-CS"/>
              </w:rPr>
              <w:t>Agency</w:t>
            </w:r>
          </w:p>
        </w:tc>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  2011  </w:t>
            </w:r>
          </w:p>
        </w:tc>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  2012  </w:t>
            </w:r>
          </w:p>
        </w:tc>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  2013  </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Fines</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13</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4</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Reprimands</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Freed</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3</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0</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0</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Suspension (termination, obsolete)</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8</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3</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4</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No jurisdiction of court </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b/>
                <w:lang w:eastAsia="sr-Latn-CS"/>
              </w:rPr>
            </w:pPr>
            <w:r w:rsidRPr="002B240D">
              <w:rPr>
                <w:rFonts w:ascii="Cambria" w:eastAsia="Times New Roman" w:hAnsi="Cambria" w:cs="Helvetica"/>
                <w:b/>
                <w:lang w:eastAsia="sr-Latn-CS"/>
              </w:rPr>
              <w:t xml:space="preserve">Total of resolved </w:t>
            </w:r>
            <w:r>
              <w:rPr>
                <w:rFonts w:ascii="Cambria" w:eastAsia="Times New Roman" w:hAnsi="Cambria" w:cs="Helvetica"/>
                <w:b/>
                <w:lang w:eastAsia="sr-Latn-CS"/>
              </w:rPr>
              <w:t>cases</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15</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19</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10</w:t>
            </w:r>
          </w:p>
        </w:tc>
      </w:tr>
    </w:tbl>
    <w:p w:rsidR="00AE2771" w:rsidRPr="002B240D" w:rsidRDefault="00AE2771" w:rsidP="00AE2771">
      <w:pPr>
        <w:spacing w:after="0" w:line="240" w:lineRule="auto"/>
        <w:ind w:firstLine="708"/>
        <w:rPr>
          <w:rFonts w:ascii="Cambria" w:eastAsia="Times New Roman" w:hAnsi="Cambria" w:cs="Helvetica"/>
          <w:lang w:eastAsia="sr-Latn-CS"/>
        </w:rPr>
      </w:pPr>
    </w:p>
    <w:p w:rsidR="00AE2771" w:rsidRPr="002B240D" w:rsidRDefault="00AE2771" w:rsidP="00AE2771">
      <w:pPr>
        <w:spacing w:after="0" w:line="240" w:lineRule="auto"/>
        <w:rPr>
          <w:rFonts w:ascii="Times New Roman" w:eastAsia="Times New Roman" w:hAnsi="Times New Roman" w:cs="Times New Roman"/>
          <w:sz w:val="24"/>
          <w:szCs w:val="24"/>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 xml:space="preserve">44 cases </w:t>
      </w:r>
      <w:r>
        <w:rPr>
          <w:rFonts w:ascii="Cambria" w:eastAsia="Times New Roman" w:hAnsi="Cambria" w:cs="Helvetica"/>
          <w:lang w:eastAsia="sr-Latn-CS"/>
        </w:rPr>
        <w:t xml:space="preserve">by requests </w:t>
      </w:r>
      <w:r w:rsidRPr="002B240D">
        <w:rPr>
          <w:rFonts w:ascii="Cambria" w:eastAsia="Times New Roman" w:hAnsi="Cambria" w:cs="Helvetica"/>
          <w:lang w:eastAsia="sr-Latn-CS"/>
        </w:rPr>
        <w:t xml:space="preserve">filed by the Agency were resolved in the course of three years. In </w:t>
      </w:r>
      <w:r w:rsidRPr="002B240D">
        <w:rPr>
          <w:rFonts w:ascii="Cambria" w:eastAsia="Times New Roman" w:hAnsi="Cambria" w:cs="Helvetica"/>
          <w:b/>
          <w:lang w:eastAsia="sr-Latn-CS"/>
        </w:rPr>
        <w:t>2011</w:t>
      </w:r>
      <w:r w:rsidRPr="002B240D">
        <w:rPr>
          <w:rFonts w:ascii="Cambria" w:eastAsia="Times New Roman" w:hAnsi="Cambria" w:cs="Helvetica"/>
          <w:lang w:eastAsia="sr-Latn-CS"/>
        </w:rPr>
        <w:t xml:space="preserve"> of the 15 resolved cases, a fine was imposed only in one case (of 70.000 dinars, for not transferring management rights, 13 months after filing the charges). In as many as eight cases the proceedings were terminated, of these six due to </w:t>
      </w:r>
      <w:r w:rsidR="00684FF6">
        <w:rPr>
          <w:rFonts w:ascii="Cambria" w:eastAsia="Times New Roman" w:hAnsi="Cambria" w:cs="Helvetica"/>
          <w:lang w:eastAsia="sr-Latn-CS"/>
        </w:rPr>
        <w:t>the statute of limitations</w:t>
      </w:r>
      <w:r w:rsidRPr="002B240D">
        <w:rPr>
          <w:rFonts w:ascii="Cambria" w:eastAsia="Times New Roman" w:hAnsi="Cambria" w:cs="Helvetica"/>
          <w:lang w:eastAsia="sr-Latn-CS"/>
        </w:rPr>
        <w:t xml:space="preserve">. In </w:t>
      </w:r>
      <w:r w:rsidRPr="002B240D">
        <w:rPr>
          <w:rFonts w:ascii="Cambria" w:eastAsia="Times New Roman" w:hAnsi="Cambria" w:cs="Helvetica"/>
          <w:b/>
          <w:lang w:eastAsia="sr-Latn-CS"/>
        </w:rPr>
        <w:t>2012</w:t>
      </w:r>
      <w:r w:rsidRPr="002B240D">
        <w:rPr>
          <w:rFonts w:ascii="Cambria" w:eastAsia="Times New Roman" w:hAnsi="Cambria" w:cs="Helvetica"/>
          <w:lang w:eastAsia="sr-Latn-CS"/>
        </w:rPr>
        <w:t xml:space="preserve"> there was a higher number of fines imposed, mostly for misdemeanors from the Law on the Anti-corruption Agency (the conduct of officials holding office). Charges against political parties and responsible persons in parties due to failure to submit reports are mostly amongst the unresolved cases (16 charges).</w:t>
      </w:r>
    </w:p>
    <w:p w:rsidR="00AE2771" w:rsidRPr="002B240D" w:rsidRDefault="00AE2771" w:rsidP="00AE2771">
      <w:pPr>
        <w:spacing w:before="100" w:beforeAutospacing="1" w:after="100" w:afterAutospacing="1" w:line="240" w:lineRule="auto"/>
        <w:jc w:val="both"/>
        <w:rPr>
          <w:rFonts w:ascii="Cambria" w:eastAsia="Times New Roman" w:hAnsi="Cambria" w:cs="Helvetica"/>
          <w:shd w:val="clear" w:color="auto" w:fill="FFFFFF"/>
          <w:lang w:eastAsia="sr-Latn-CS"/>
        </w:rPr>
      </w:pPr>
      <w:r w:rsidRPr="002B240D">
        <w:rPr>
          <w:rFonts w:ascii="Cambria" w:eastAsia="Times New Roman" w:hAnsi="Cambria" w:cs="Helvetica"/>
          <w:shd w:val="clear" w:color="auto" w:fill="FFFFFF"/>
          <w:lang w:eastAsia="sr-Latn-CS"/>
        </w:rPr>
        <w:t xml:space="preserve">In </w:t>
      </w:r>
      <w:r w:rsidRPr="002B240D">
        <w:rPr>
          <w:rFonts w:ascii="Cambria" w:eastAsia="Times New Roman" w:hAnsi="Cambria" w:cs="Helvetica"/>
          <w:b/>
          <w:shd w:val="clear" w:color="auto" w:fill="FFFFFF"/>
          <w:lang w:eastAsia="sr-Latn-CS"/>
        </w:rPr>
        <w:t xml:space="preserve">2013 </w:t>
      </w:r>
      <w:r w:rsidRPr="002B240D">
        <w:rPr>
          <w:rFonts w:ascii="Cambria" w:eastAsia="Times New Roman" w:hAnsi="Cambria" w:cs="Helvetica"/>
          <w:shd w:val="clear" w:color="auto" w:fill="FFFFFF"/>
          <w:lang w:eastAsia="sr-Latn-CS"/>
        </w:rPr>
        <w:t>only ten cases were resolved, of these, four cases were decisions to terminate the proceedings due to the statute of limitations, in one case the judge passed a decision that the court was acting outside its jurisdiction, one warning was issued and four fines.</w:t>
      </w:r>
    </w:p>
    <w:p w:rsidR="00AE2771" w:rsidRPr="002B240D" w:rsidRDefault="00AE2771" w:rsidP="00AE2771">
      <w:pPr>
        <w:spacing w:after="0" w:line="240" w:lineRule="auto"/>
        <w:jc w:val="both"/>
        <w:rPr>
          <w:rFonts w:ascii="Cambria" w:eastAsia="Times New Roman" w:hAnsi="Cambria" w:cs="Helvetica"/>
          <w:b/>
          <w:lang w:eastAsia="sr-Latn-CS"/>
        </w:rPr>
      </w:pPr>
      <w:r w:rsidRPr="002B240D">
        <w:rPr>
          <w:rFonts w:ascii="Cambria" w:eastAsia="Times New Roman" w:hAnsi="Cambria" w:cs="Helvetica"/>
          <w:b/>
          <w:lang w:eastAsia="sr-Latn-CS"/>
        </w:rPr>
        <w:t xml:space="preserve">State Audit Institution </w:t>
      </w:r>
    </w:p>
    <w:p w:rsidR="00AE2771" w:rsidRPr="002B240D" w:rsidRDefault="00AE2771" w:rsidP="00AE2771">
      <w:pPr>
        <w:spacing w:after="0" w:line="240" w:lineRule="auto"/>
        <w:jc w:val="both"/>
        <w:rPr>
          <w:rFonts w:ascii="Cambria" w:eastAsia="Times New Roman" w:hAnsi="Cambria" w:cs="Helvetica"/>
          <w:b/>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Since it was established in 2007, SAI faces the lack of office space, and as a result of that a lack of staff and capacities for work.  Until now there has been no attempt to determine whether these facts influence the scope of sanctioning failures established in audit reports.</w:t>
      </w: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 xml:space="preserve"> </w:t>
      </w: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 xml:space="preserve">SAI is in a specific situation because sanctioning for the violation of a law is not its “primary activity", as representatives of DRI often emphasize, and as it has been indicated in the Progress Report of the </w:t>
      </w:r>
      <w:r w:rsidRPr="002B240D">
        <w:rPr>
          <w:rFonts w:ascii="Cambria" w:eastAsia="Times New Roman" w:hAnsi="Cambria" w:cs="Helvetica"/>
          <w:lang w:eastAsia="sr-Latn-CS"/>
        </w:rPr>
        <w:lastRenderedPageBreak/>
        <w:t>European Commission for Serbia for 2012</w:t>
      </w:r>
      <w:r w:rsidRPr="002B240D">
        <w:rPr>
          <w:rFonts w:ascii="Cambria" w:eastAsia="Times New Roman" w:hAnsi="Cambria" w:cs="Helvetica"/>
          <w:vertAlign w:val="superscript"/>
          <w:lang w:eastAsia="sr-Latn-CS"/>
        </w:rPr>
        <w:footnoteReference w:id="2"/>
      </w:r>
      <w:r w:rsidRPr="002B240D">
        <w:rPr>
          <w:rFonts w:ascii="Cambria" w:eastAsia="Times New Roman" w:hAnsi="Cambria" w:cs="Helvetica"/>
          <w:lang w:eastAsia="sr-Latn-CS"/>
        </w:rPr>
        <w:t xml:space="preserve">.  However, the Law on the State Audit Institution (Article 41) stipulates the obligation of the SAI to, without delay, file a request for initiating proceedings, or rather criminal charges to the competent authority, if during the audit procedure it discovers substantially significant acts that indicate the existence of elements of a misdemeanor or criminal offense. The project attempted to answer the question whether there is a need for amending the law in order to delegate this competence to another state authority or to strengthen SAI so that it can perform this duty. </w:t>
      </w:r>
    </w:p>
    <w:p w:rsidR="00AE2771" w:rsidRPr="002B240D" w:rsidRDefault="00AE2771" w:rsidP="00AE2771">
      <w:pPr>
        <w:spacing w:after="0" w:line="240" w:lineRule="auto"/>
        <w:jc w:val="both"/>
        <w:rPr>
          <w:rFonts w:ascii="Cambria" w:eastAsia="Times New Roman" w:hAnsi="Cambria" w:cs="Helvetica"/>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 xml:space="preserve">During the three years observed, 83 cases have been resolved for which the </w:t>
      </w:r>
      <w:r w:rsidRPr="002B240D">
        <w:rPr>
          <w:rFonts w:ascii="Cambria" w:eastAsia="Times New Roman" w:hAnsi="Cambria" w:cs="Helvetica"/>
          <w:b/>
          <w:lang w:eastAsia="sr-Latn-CS"/>
        </w:rPr>
        <w:t>SAI</w:t>
      </w:r>
      <w:r w:rsidRPr="002B240D">
        <w:rPr>
          <w:rFonts w:ascii="Cambria" w:eastAsia="Times New Roman" w:hAnsi="Cambria" w:cs="Helvetica"/>
          <w:lang w:eastAsia="sr-Latn-CS"/>
        </w:rPr>
        <w:t xml:space="preserve"> filed </w:t>
      </w:r>
      <w:r>
        <w:rPr>
          <w:rFonts w:ascii="Cambria" w:eastAsia="Times New Roman" w:hAnsi="Cambria" w:cs="Helvetica"/>
          <w:lang w:eastAsia="sr-Latn-CS"/>
        </w:rPr>
        <w:t>requests</w:t>
      </w:r>
      <w:r w:rsidRPr="002B240D">
        <w:rPr>
          <w:rFonts w:ascii="Cambria" w:eastAsia="Times New Roman" w:hAnsi="Cambria" w:cs="Helvetica"/>
          <w:lang w:eastAsia="sr-Latn-CS"/>
        </w:rPr>
        <w:t xml:space="preserve"> for</w:t>
      </w:r>
      <w:r>
        <w:rPr>
          <w:rFonts w:ascii="Cambria" w:eastAsia="Times New Roman" w:hAnsi="Cambria" w:cs="Helvetica"/>
          <w:lang w:eastAsia="sr-Latn-CS"/>
        </w:rPr>
        <w:t>.</w:t>
      </w:r>
      <w:r w:rsidRPr="002B240D">
        <w:rPr>
          <w:rFonts w:ascii="Cambria" w:eastAsia="Times New Roman" w:hAnsi="Cambria" w:cs="Helvetica"/>
          <w:lang w:eastAsia="sr-Latn-CS"/>
        </w:rPr>
        <w:t xml:space="preserve"> </w:t>
      </w:r>
    </w:p>
    <w:p w:rsidR="00AE2771" w:rsidRPr="002B240D" w:rsidRDefault="00AE2771" w:rsidP="00AE2771">
      <w:pPr>
        <w:spacing w:after="0" w:line="240" w:lineRule="auto"/>
        <w:rPr>
          <w:rFonts w:ascii="Cambria" w:eastAsia="Times New Roman" w:hAnsi="Cambria" w:cs="Helvetica"/>
          <w:lang w:eastAsia="sr-Latn-CS"/>
        </w:rPr>
      </w:pPr>
    </w:p>
    <w:p w:rsidR="00AE2771" w:rsidRPr="002B240D" w:rsidRDefault="00AE2771" w:rsidP="00AE2771">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Table 3: Review of resolved cases for </w:t>
      </w:r>
      <w:r>
        <w:rPr>
          <w:rFonts w:ascii="Cambria" w:eastAsia="Times New Roman" w:hAnsi="Cambria" w:cs="Helvetica"/>
          <w:lang w:eastAsia="sr-Latn-CS"/>
        </w:rPr>
        <w:t>requests</w:t>
      </w:r>
      <w:r w:rsidRPr="002B240D">
        <w:rPr>
          <w:rFonts w:ascii="Cambria" w:eastAsia="Times New Roman" w:hAnsi="Cambria" w:cs="Helvetica"/>
          <w:lang w:eastAsia="sr-Latn-CS"/>
        </w:rPr>
        <w:t xml:space="preserve"> the State Audit </w:t>
      </w:r>
      <w:r>
        <w:rPr>
          <w:rFonts w:ascii="Cambria" w:eastAsia="Times New Roman" w:hAnsi="Cambria" w:cs="Helvetica"/>
          <w:lang w:eastAsia="sr-Latn-CS"/>
        </w:rPr>
        <w:t>I</w:t>
      </w:r>
      <w:r w:rsidRPr="002B240D">
        <w:rPr>
          <w:rFonts w:ascii="Cambria" w:eastAsia="Times New Roman" w:hAnsi="Cambria" w:cs="Helvetica"/>
          <w:lang w:eastAsia="sr-Latn-CS"/>
        </w:rPr>
        <w:t>nstitution filed</w:t>
      </w:r>
    </w:p>
    <w:p w:rsidR="00AE2771" w:rsidRPr="002B240D" w:rsidRDefault="00AE2771" w:rsidP="00AE2771">
      <w:pPr>
        <w:spacing w:after="0" w:line="240" w:lineRule="auto"/>
        <w:rPr>
          <w:rFonts w:ascii="Cambria" w:eastAsia="Times New Roman" w:hAnsi="Cambria" w:cs="Helvetica"/>
          <w:lang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801"/>
        <w:gridCol w:w="801"/>
        <w:gridCol w:w="801"/>
      </w:tblGrid>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b/>
                <w:lang w:eastAsia="sr-Latn-CS"/>
              </w:rPr>
            </w:pPr>
            <w:r w:rsidRPr="002B240D">
              <w:rPr>
                <w:rFonts w:ascii="Cambria" w:eastAsia="Times New Roman" w:hAnsi="Cambria" w:cs="Helvetica"/>
                <w:b/>
                <w:lang w:eastAsia="sr-Latn-CS"/>
              </w:rPr>
              <w:t>SAI</w:t>
            </w:r>
          </w:p>
        </w:tc>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  2011  </w:t>
            </w:r>
          </w:p>
        </w:tc>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  2012  </w:t>
            </w:r>
          </w:p>
        </w:tc>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  2013  </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Fines</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11</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16</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28</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Reprimands</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0</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0</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Freed</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0</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Suspension (termination, obsolete)</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4</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No jurisdiction of court </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0</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3</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Rejected charges</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0</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0</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Unknown</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4</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3</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b/>
                <w:lang w:eastAsia="sr-Latn-CS"/>
              </w:rPr>
            </w:pPr>
            <w:r w:rsidRPr="002B240D">
              <w:rPr>
                <w:rFonts w:ascii="Cambria" w:eastAsia="Times New Roman" w:hAnsi="Cambria" w:cs="Helvetica"/>
                <w:b/>
                <w:lang w:eastAsia="sr-Latn-CS"/>
              </w:rPr>
              <w:t>Total of resolved cases</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17</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26</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38</w:t>
            </w:r>
          </w:p>
        </w:tc>
      </w:tr>
    </w:tbl>
    <w:p w:rsidR="00AE2771" w:rsidRPr="002B240D" w:rsidRDefault="00AE2771" w:rsidP="00AE2771">
      <w:pPr>
        <w:spacing w:after="0" w:line="240" w:lineRule="auto"/>
        <w:jc w:val="both"/>
        <w:rPr>
          <w:rFonts w:ascii="Cambria" w:eastAsia="Times New Roman" w:hAnsi="Cambria" w:cs="Helvetica"/>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 xml:space="preserve">In </w:t>
      </w:r>
      <w:r w:rsidRPr="002B240D">
        <w:rPr>
          <w:rFonts w:ascii="Cambria" w:eastAsia="Times New Roman" w:hAnsi="Cambria" w:cs="Helvetica"/>
          <w:b/>
          <w:lang w:eastAsia="sr-Latn-CS"/>
        </w:rPr>
        <w:t>2011</w:t>
      </w:r>
      <w:r w:rsidRPr="002B240D">
        <w:rPr>
          <w:rFonts w:ascii="Cambria" w:eastAsia="Times New Roman" w:hAnsi="Cambria" w:cs="Helvetica"/>
          <w:lang w:eastAsia="sr-Latn-CS"/>
        </w:rPr>
        <w:t xml:space="preserve">, from 29 </w:t>
      </w:r>
      <w:r>
        <w:rPr>
          <w:rFonts w:ascii="Cambria" w:eastAsia="Times New Roman" w:hAnsi="Cambria" w:cs="Helvetica"/>
          <w:lang w:eastAsia="sr-Latn-CS"/>
        </w:rPr>
        <w:t>requests</w:t>
      </w:r>
      <w:r w:rsidRPr="002B240D">
        <w:rPr>
          <w:rFonts w:ascii="Cambria" w:eastAsia="Times New Roman" w:hAnsi="Cambria" w:cs="Helvetica"/>
          <w:lang w:eastAsia="sr-Latn-CS"/>
        </w:rPr>
        <w:t xml:space="preserve"> filed, 17 have been resolved. It can be assumed that the remaining 12 are mostly obsolete, however the court has not concluded this fact yet. In 2012, 125 </w:t>
      </w:r>
      <w:r>
        <w:rPr>
          <w:rFonts w:ascii="Cambria" w:eastAsia="Times New Roman" w:hAnsi="Cambria" w:cs="Helvetica"/>
          <w:lang w:eastAsia="sr-Latn-CS"/>
        </w:rPr>
        <w:t>requests</w:t>
      </w:r>
      <w:r w:rsidRPr="002B240D">
        <w:rPr>
          <w:rFonts w:ascii="Cambria" w:eastAsia="Times New Roman" w:hAnsi="Cambria" w:cs="Helvetica"/>
          <w:lang w:eastAsia="sr-Latn-CS"/>
        </w:rPr>
        <w:t xml:space="preserve"> were filed and 26 have been resolved. In 99 cases that are pending, between nine months and 21 months has elapsed from the time of filing the </w:t>
      </w:r>
      <w:r>
        <w:rPr>
          <w:rFonts w:ascii="Cambria" w:eastAsia="Times New Roman" w:hAnsi="Cambria" w:cs="Helvetica"/>
          <w:lang w:eastAsia="sr-Latn-CS"/>
        </w:rPr>
        <w:t>requests</w:t>
      </w:r>
      <w:r w:rsidRPr="002B240D">
        <w:rPr>
          <w:rFonts w:ascii="Cambria" w:eastAsia="Times New Roman" w:hAnsi="Cambria" w:cs="Helvetica"/>
          <w:lang w:eastAsia="sr-Latn-CS"/>
        </w:rPr>
        <w:t xml:space="preserve"> to obtaining information from the courts on the status of the case. Therefore, caution should be taken with the fact that the average handling of a case in 2012 in 26 completed cases was 10 months. Subsequent analysis, following the conclusion of these 99 cases will show, it is quite clear, that this period is actually longer. In the observed period in </w:t>
      </w:r>
      <w:r w:rsidRPr="002B240D">
        <w:rPr>
          <w:rFonts w:ascii="Cambria" w:eastAsia="Times New Roman" w:hAnsi="Cambria" w:cs="Helvetica"/>
          <w:b/>
          <w:lang w:eastAsia="sr-Latn-CS"/>
        </w:rPr>
        <w:t>2013</w:t>
      </w:r>
      <w:r w:rsidRPr="002B240D">
        <w:rPr>
          <w:rFonts w:ascii="Cambria" w:eastAsia="Times New Roman" w:hAnsi="Cambria" w:cs="Helvetica"/>
          <w:lang w:eastAsia="sr-Latn-CS"/>
        </w:rPr>
        <w:t xml:space="preserve"> (until 15 December 2013) SAI filed 205 charges, and resolved 38 cases, of which 28 were concluded with decisions on fines ranging from 10,000 to 100,000, while the average penalty is 30,000 dinars.</w:t>
      </w:r>
    </w:p>
    <w:p w:rsidR="00AE2771" w:rsidRPr="002B240D" w:rsidRDefault="00AE2771" w:rsidP="00AE2771">
      <w:pPr>
        <w:spacing w:after="0" w:line="240" w:lineRule="auto"/>
        <w:jc w:val="both"/>
        <w:rPr>
          <w:rFonts w:ascii="Cambria" w:eastAsia="Times New Roman" w:hAnsi="Cambria" w:cs="Helvetica"/>
          <w:b/>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b/>
          <w:lang w:eastAsia="sr-Latn-CS"/>
        </w:rPr>
        <w:t>Commissioner for</w:t>
      </w:r>
      <w:r w:rsidR="002616FE">
        <w:rPr>
          <w:rFonts w:ascii="Cambria" w:eastAsia="Times New Roman" w:hAnsi="Cambria" w:cs="Helvetica"/>
          <w:b/>
          <w:lang w:eastAsia="sr-Latn-CS"/>
        </w:rPr>
        <w:t xml:space="preserve"> Information of Public Importance</w:t>
      </w:r>
      <w:r w:rsidRPr="002B240D">
        <w:rPr>
          <w:rFonts w:ascii="Cambria" w:eastAsia="Times New Roman" w:hAnsi="Cambria" w:cs="Helvetica"/>
          <w:b/>
          <w:lang w:eastAsia="sr-Latn-CS"/>
        </w:rPr>
        <w:t xml:space="preserve"> and Personal Data Protection</w:t>
      </w:r>
      <w:r w:rsidRPr="002B240D">
        <w:rPr>
          <w:rFonts w:ascii="Cambria" w:eastAsia="Times New Roman" w:hAnsi="Cambria" w:cs="Helvetica"/>
          <w:lang w:eastAsia="sr-Latn-CS"/>
        </w:rPr>
        <w:t xml:space="preserve"> </w:t>
      </w:r>
    </w:p>
    <w:p w:rsidR="00AE2771" w:rsidRPr="002B240D" w:rsidRDefault="00AE2771" w:rsidP="00AE2771">
      <w:pPr>
        <w:spacing w:after="0" w:line="240" w:lineRule="auto"/>
        <w:jc w:val="both"/>
        <w:rPr>
          <w:rFonts w:ascii="Cambria" w:eastAsia="Times New Roman" w:hAnsi="Cambria" w:cs="Helvetica"/>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The Commissioner for Information of Public Importance and Personal Data Protection, an independent state authority, is not entrusted with the competence to file misdemeanor charges for violations of the Law on Free Access to Information of Public Importance. This work is mandated by law to "the ministry responsible for public administration" (the administrative inspection</w:t>
      </w:r>
      <w:r>
        <w:rPr>
          <w:rFonts w:ascii="Cambria" w:eastAsia="Times New Roman" w:hAnsi="Cambria" w:cs="Helvetica"/>
          <w:lang w:eastAsia="sr-Latn-CS"/>
        </w:rPr>
        <w:t xml:space="preserve"> within the Ministry of Justice and State Administration</w:t>
      </w:r>
      <w:r w:rsidRPr="002B240D">
        <w:rPr>
          <w:rFonts w:ascii="Cambria" w:eastAsia="Times New Roman" w:hAnsi="Cambria" w:cs="Helvetica"/>
          <w:lang w:eastAsia="sr-Latn-CS"/>
        </w:rPr>
        <w:t>). On the other hand, the Commissioner has the authority to initiate proceedings for violations of the Law on Personal Data Protection (Article 56 stipulates the duty to file misdemeanor charges for the violation of the provisions of this law). The Commissioner, as well as other state authorities, may find themselves in the position of finding out about a criminal offense and may be required to inform the public prosecutor.</w:t>
      </w:r>
    </w:p>
    <w:p w:rsidR="00AE2771" w:rsidRPr="002B240D" w:rsidRDefault="00AE2771" w:rsidP="00AE2771">
      <w:pPr>
        <w:spacing w:after="0" w:line="240" w:lineRule="auto"/>
        <w:jc w:val="both"/>
        <w:rPr>
          <w:rFonts w:ascii="Cambria" w:eastAsia="Times New Roman" w:hAnsi="Cambria" w:cs="Helvetica"/>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 xml:space="preserve">In the case of the Commissioner for Information of Public Importance and Personal Data Protection there seems to be a relatively large number of cases resolved by imposing fines. The problem, however, is that for the violation of the Law on Personal Data Protection the general statute of limitations of two years </w:t>
      </w:r>
      <w:r w:rsidRPr="002B240D">
        <w:rPr>
          <w:rFonts w:ascii="Cambria" w:eastAsia="Times New Roman" w:hAnsi="Cambria" w:cs="Helvetica"/>
          <w:lang w:eastAsia="sr-Latn-CS"/>
        </w:rPr>
        <w:lastRenderedPageBreak/>
        <w:t>applies and a large number of cases in which an appeal is filed, the case is later returned for revision and results in the statute of limitations.</w:t>
      </w:r>
    </w:p>
    <w:p w:rsidR="00AE2771" w:rsidRPr="002B240D" w:rsidRDefault="00AE2771" w:rsidP="00AE2771">
      <w:pPr>
        <w:spacing w:after="0" w:line="240" w:lineRule="auto"/>
        <w:rPr>
          <w:rFonts w:ascii="Cambria" w:eastAsia="Times New Roman" w:hAnsi="Cambria" w:cs="Helvetica"/>
          <w:lang w:eastAsia="sr-Latn-CS"/>
        </w:rPr>
      </w:pPr>
    </w:p>
    <w:p w:rsidR="00AE2771" w:rsidRPr="002B240D" w:rsidRDefault="00AE2771" w:rsidP="00AE2771">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Table 4: Review of resolved cases for </w:t>
      </w:r>
      <w:r>
        <w:rPr>
          <w:rFonts w:ascii="Cambria" w:eastAsia="Times New Roman" w:hAnsi="Cambria" w:cs="Helvetica"/>
          <w:lang w:eastAsia="sr-Latn-CS"/>
        </w:rPr>
        <w:t>requests</w:t>
      </w:r>
      <w:r w:rsidRPr="002B240D">
        <w:rPr>
          <w:rFonts w:ascii="Cambria" w:eastAsia="Times New Roman" w:hAnsi="Cambria" w:cs="Helvetica"/>
          <w:lang w:eastAsia="sr-Latn-CS"/>
        </w:rPr>
        <w:t xml:space="preserve"> filed by the Commissioner for Information of Public Importance and Personal Data Protection</w:t>
      </w:r>
    </w:p>
    <w:p w:rsidR="00AE2771" w:rsidRPr="002B240D" w:rsidRDefault="00AE2771" w:rsidP="00AE2771">
      <w:pPr>
        <w:spacing w:after="0" w:line="240" w:lineRule="auto"/>
        <w:rPr>
          <w:rFonts w:ascii="Cambria" w:eastAsia="Times New Roman" w:hAnsi="Cambria" w:cs="Helvetica"/>
          <w:lang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801"/>
        <w:gridCol w:w="801"/>
        <w:gridCol w:w="801"/>
      </w:tblGrid>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b/>
                <w:lang w:eastAsia="sr-Latn-CS"/>
              </w:rPr>
            </w:pPr>
            <w:r w:rsidRPr="002B240D">
              <w:rPr>
                <w:rFonts w:ascii="Cambria" w:eastAsia="Times New Roman" w:hAnsi="Cambria" w:cs="Helvetica"/>
                <w:b/>
                <w:lang w:eastAsia="sr-Latn-CS"/>
              </w:rPr>
              <w:t>Commissioner</w:t>
            </w:r>
          </w:p>
        </w:tc>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  2011  </w:t>
            </w:r>
          </w:p>
        </w:tc>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  2012  </w:t>
            </w:r>
          </w:p>
        </w:tc>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  2013  </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Fines</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18</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5</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6</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Reprimands</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4</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4</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0</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Freed</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0</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Suspension (termination, obsolete)</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6</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5</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Rejected charges</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0</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0</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b/>
                <w:lang w:eastAsia="sr-Latn-CS"/>
              </w:rPr>
            </w:pPr>
            <w:r w:rsidRPr="002B240D">
              <w:rPr>
                <w:rFonts w:ascii="Cambria" w:eastAsia="Times New Roman" w:hAnsi="Cambria" w:cs="Helvetica"/>
                <w:b/>
                <w:lang w:eastAsia="sr-Latn-CS"/>
              </w:rPr>
              <w:t xml:space="preserve">Total of resolved </w:t>
            </w:r>
            <w:r>
              <w:rPr>
                <w:rFonts w:ascii="Cambria" w:eastAsia="Times New Roman" w:hAnsi="Cambria" w:cs="Helvetica"/>
                <w:b/>
                <w:lang w:eastAsia="sr-Latn-CS"/>
              </w:rPr>
              <w:t>cases</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24</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16</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12</w:t>
            </w:r>
          </w:p>
        </w:tc>
      </w:tr>
    </w:tbl>
    <w:p w:rsidR="00AE2771" w:rsidRPr="002B240D" w:rsidRDefault="00AE2771" w:rsidP="00AE2771">
      <w:pPr>
        <w:spacing w:after="0" w:line="240" w:lineRule="auto"/>
        <w:rPr>
          <w:rFonts w:ascii="Cambria" w:eastAsia="Times New Roman" w:hAnsi="Cambria" w:cs="Helvetica"/>
          <w:lang w:eastAsia="sr-Latn-CS"/>
        </w:rPr>
      </w:pPr>
    </w:p>
    <w:p w:rsidR="00AE2771" w:rsidRPr="002B240D" w:rsidRDefault="00AE2771" w:rsidP="00AE2771">
      <w:pPr>
        <w:spacing w:after="0" w:line="240" w:lineRule="auto"/>
        <w:rPr>
          <w:rFonts w:ascii="Cambria" w:eastAsia="Times New Roman" w:hAnsi="Cambria" w:cs="Helvetica"/>
          <w:lang w:eastAsia="sr-Latn-CS"/>
        </w:rPr>
      </w:pPr>
    </w:p>
    <w:p w:rsidR="00AE2771" w:rsidRPr="002B240D" w:rsidRDefault="00AE2771" w:rsidP="00AE2771">
      <w:pPr>
        <w:spacing w:after="0" w:line="240" w:lineRule="auto"/>
        <w:rPr>
          <w:rFonts w:ascii="Cambria" w:eastAsia="Times New Roman" w:hAnsi="Cambria" w:cs="Times New Roman"/>
          <w:b/>
          <w:lang w:eastAsia="sr-Latn-CS"/>
        </w:rPr>
      </w:pPr>
    </w:p>
    <w:p w:rsidR="00AE2771" w:rsidRPr="002B240D" w:rsidRDefault="00AE2771" w:rsidP="00AE2771">
      <w:pPr>
        <w:spacing w:after="0" w:line="240" w:lineRule="auto"/>
        <w:rPr>
          <w:rFonts w:ascii="Cambria" w:eastAsia="Times New Roman" w:hAnsi="Cambria" w:cs="Times New Roman"/>
          <w:b/>
          <w:lang w:eastAsia="sr-Latn-CS"/>
        </w:rPr>
      </w:pPr>
      <w:r w:rsidRPr="002B240D">
        <w:rPr>
          <w:rFonts w:ascii="Cambria" w:eastAsia="Times New Roman" w:hAnsi="Cambria" w:cs="Times New Roman"/>
          <w:b/>
          <w:lang w:eastAsia="sr-Latn-CS"/>
        </w:rPr>
        <w:t>Criminal Charges</w:t>
      </w:r>
    </w:p>
    <w:p w:rsidR="00AE2771" w:rsidRPr="002B240D" w:rsidRDefault="00AE2771" w:rsidP="00AE2771">
      <w:pPr>
        <w:spacing w:after="0" w:line="240" w:lineRule="auto"/>
        <w:rPr>
          <w:rFonts w:ascii="Cambria" w:eastAsia="Times New Roman" w:hAnsi="Cambria" w:cs="Helvetica"/>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 xml:space="preserve">The Anti-corruption Agency filed 11 </w:t>
      </w:r>
      <w:r>
        <w:rPr>
          <w:rFonts w:ascii="Cambria" w:eastAsia="Times New Roman" w:hAnsi="Cambria" w:cs="Helvetica"/>
          <w:lang w:eastAsia="sr-Latn-CS"/>
        </w:rPr>
        <w:t xml:space="preserve">criminal </w:t>
      </w:r>
      <w:r w:rsidRPr="002B240D">
        <w:rPr>
          <w:rFonts w:ascii="Cambria" w:eastAsia="Times New Roman" w:hAnsi="Cambria" w:cs="Helvetica"/>
          <w:lang w:eastAsia="sr-Latn-CS"/>
        </w:rPr>
        <w:t>charges in the observed period, of which nine for failing to report assets, one for the abuse of office and one for a criminal offense against public health.  Two indictments have been filed, or rather an indictment in summary procedure.</w:t>
      </w:r>
    </w:p>
    <w:p w:rsidR="00AE2771" w:rsidRPr="002B240D" w:rsidRDefault="00AE2771" w:rsidP="00AE2771">
      <w:pPr>
        <w:spacing w:after="0" w:line="240" w:lineRule="auto"/>
        <w:rPr>
          <w:rFonts w:ascii="Cambria" w:eastAsia="Times New Roman" w:hAnsi="Cambria" w:cs="Helvetica"/>
          <w:lang w:eastAsia="sr-Latn-CS"/>
        </w:rPr>
      </w:pPr>
    </w:p>
    <w:p w:rsidR="00AE2771" w:rsidRPr="002B240D" w:rsidRDefault="00AE2771" w:rsidP="00AE2771">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Table 5: Review of criminal charges filed by the Anti-corruption Agency</w:t>
      </w:r>
    </w:p>
    <w:p w:rsidR="00AE2771" w:rsidRPr="002B240D" w:rsidRDefault="00AE2771" w:rsidP="00AE2771">
      <w:pPr>
        <w:spacing w:after="0" w:line="240" w:lineRule="auto"/>
        <w:rPr>
          <w:rFonts w:ascii="Cambria" w:eastAsia="Times New Roman" w:hAnsi="Cambria" w:cs="Helvetica"/>
          <w:lang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704"/>
        <w:gridCol w:w="704"/>
        <w:gridCol w:w="704"/>
      </w:tblGrid>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b/>
                <w:lang w:eastAsia="sr-Latn-CS"/>
              </w:rPr>
            </w:pPr>
            <w:r w:rsidRPr="002B240D">
              <w:rPr>
                <w:rFonts w:ascii="Cambria" w:eastAsia="Times New Roman" w:hAnsi="Cambria" w:cs="Helvetica"/>
                <w:b/>
                <w:lang w:eastAsia="sr-Latn-CS"/>
              </w:rPr>
              <w:t>Anti-corruption Agency</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2011</w:t>
            </w:r>
          </w:p>
          <w:p w:rsidR="00AE2771" w:rsidRPr="002B240D" w:rsidRDefault="00AE2771" w:rsidP="00CF189F">
            <w:pPr>
              <w:spacing w:after="0" w:line="240" w:lineRule="auto"/>
              <w:jc w:val="center"/>
              <w:rPr>
                <w:rFonts w:ascii="Cambria" w:eastAsia="Times New Roman" w:hAnsi="Cambria" w:cs="Helvetica"/>
                <w:lang w:eastAsia="sr-Latn-CS"/>
              </w:rPr>
            </w:pP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2012</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2013</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Filed CC</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7</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Rejected</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2</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0</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Indictments/indictments </w:t>
            </w:r>
          </w:p>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in summary procedure</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0</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Ongoing proceedings</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5</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No information</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lang w:eastAsia="sr-Latn-CS"/>
              </w:rPr>
            </w:pPr>
            <w:r w:rsidRPr="002B240D">
              <w:rPr>
                <w:rFonts w:ascii="Cambria" w:eastAsia="Times New Roman" w:hAnsi="Cambria" w:cs="Helvetica"/>
                <w:lang w:eastAsia="sr-Latn-CS"/>
              </w:rPr>
              <w:t>1</w:t>
            </w:r>
          </w:p>
        </w:tc>
      </w:tr>
    </w:tbl>
    <w:p w:rsidR="00AE2771" w:rsidRPr="002B240D" w:rsidRDefault="00AE2771" w:rsidP="00AE2771">
      <w:pPr>
        <w:spacing w:after="0" w:line="240" w:lineRule="auto"/>
        <w:rPr>
          <w:rFonts w:ascii="Cambria" w:eastAsia="Times New Roman" w:hAnsi="Cambria" w:cs="Helvetica"/>
          <w:lang w:eastAsia="sr-Latn-CS"/>
        </w:rPr>
      </w:pPr>
    </w:p>
    <w:p w:rsidR="00AE2771" w:rsidRPr="002B240D" w:rsidRDefault="00AE2771" w:rsidP="00AE2771">
      <w:pPr>
        <w:spacing w:after="0" w:line="240" w:lineRule="auto"/>
        <w:rPr>
          <w:rFonts w:ascii="Cambria" w:eastAsia="Times New Roman" w:hAnsi="Cambria" w:cs="Helvetica"/>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In the observed</w:t>
      </w:r>
      <w:r w:rsidRPr="002B240D">
        <w:rPr>
          <w:rFonts w:ascii="Cambria" w:eastAsia="Times New Roman" w:hAnsi="Cambria" w:cs="Helvetica"/>
          <w:b/>
          <w:lang w:eastAsia="sr-Latn-CS"/>
        </w:rPr>
        <w:t xml:space="preserve"> </w:t>
      </w:r>
      <w:r w:rsidRPr="002B240D">
        <w:rPr>
          <w:rFonts w:ascii="Cambria" w:eastAsia="Times New Roman" w:hAnsi="Cambria" w:cs="Helvetica"/>
          <w:lang w:eastAsia="sr-Latn-CS"/>
        </w:rPr>
        <w:t xml:space="preserve">period, from the beginning of 2011 until the end of September 2013, </w:t>
      </w:r>
      <w:r w:rsidRPr="002B240D">
        <w:rPr>
          <w:rFonts w:ascii="Cambria" w:eastAsia="Times New Roman" w:hAnsi="Cambria" w:cs="Helvetica"/>
          <w:b/>
          <w:lang w:eastAsia="sr-Latn-CS"/>
        </w:rPr>
        <w:t>SAI</w:t>
      </w:r>
      <w:r w:rsidRPr="002B240D">
        <w:rPr>
          <w:rFonts w:ascii="Cambria" w:eastAsia="Times New Roman" w:hAnsi="Cambria" w:cs="Helvetica"/>
          <w:lang w:eastAsia="sr-Latn-CS"/>
        </w:rPr>
        <w:t xml:space="preserve"> filed 20 criminal charges. No indictment or indictment in summary procedure has been filed for any of the cases, and in 3 cases the prosecutor's office reached an agreement with the defendant on rejecting the charges with a guarantee on payment of a certain amount for charity. </w:t>
      </w:r>
    </w:p>
    <w:p w:rsidR="00AE2771" w:rsidRPr="002B240D" w:rsidRDefault="00AE2771" w:rsidP="00AE2771">
      <w:pPr>
        <w:spacing w:after="0" w:line="240" w:lineRule="auto"/>
        <w:rPr>
          <w:rFonts w:ascii="Cambria" w:eastAsia="Times New Roman" w:hAnsi="Cambria" w:cs="Helvetica"/>
          <w:lang w:eastAsia="sr-Latn-CS"/>
        </w:rPr>
      </w:pPr>
    </w:p>
    <w:p w:rsidR="00AE2771" w:rsidRPr="002B240D" w:rsidRDefault="00AE2771" w:rsidP="00AE2771">
      <w:pPr>
        <w:spacing w:after="0" w:line="240" w:lineRule="auto"/>
        <w:rPr>
          <w:rFonts w:ascii="Cambria" w:eastAsia="Times New Roman" w:hAnsi="Cambria" w:cs="Helvetica"/>
          <w:lang w:eastAsia="sr-Latn-CS"/>
        </w:rPr>
      </w:pPr>
    </w:p>
    <w:p w:rsidR="00AE2771" w:rsidRPr="002B240D" w:rsidRDefault="00AE2771" w:rsidP="00AE2771">
      <w:pPr>
        <w:spacing w:after="0" w:line="240" w:lineRule="auto"/>
        <w:rPr>
          <w:rFonts w:ascii="Cambria" w:eastAsia="Times New Roman" w:hAnsi="Cambria" w:cs="Helvetica"/>
          <w:lang w:eastAsia="sr-Latn-CS"/>
        </w:rPr>
      </w:pPr>
      <w:r w:rsidRPr="002B240D">
        <w:rPr>
          <w:rFonts w:ascii="Cambria" w:eastAsia="Times New Roman" w:hAnsi="Cambria" w:cs="Helvetica"/>
          <w:lang w:eastAsia="sr-Latn-CS"/>
        </w:rPr>
        <w:t xml:space="preserve">Table 6: Review of filed criminal charges by the State Audit Institution </w:t>
      </w:r>
    </w:p>
    <w:p w:rsidR="00AE2771" w:rsidRPr="002B240D" w:rsidRDefault="00AE2771" w:rsidP="00AE2771">
      <w:pPr>
        <w:spacing w:after="0" w:line="240" w:lineRule="auto"/>
        <w:rPr>
          <w:rFonts w:ascii="Cambria" w:eastAsia="Times New Roman" w:hAnsi="Cambria" w:cs="Helvetica"/>
          <w:lang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738"/>
        <w:gridCol w:w="738"/>
        <w:gridCol w:w="738"/>
      </w:tblGrid>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b/>
                <w:lang w:eastAsia="sr-Latn-CS"/>
              </w:rPr>
            </w:pPr>
            <w:r w:rsidRPr="002B240D">
              <w:rPr>
                <w:rFonts w:ascii="Cambria" w:eastAsia="Times New Roman" w:hAnsi="Cambria" w:cs="Helvetica"/>
                <w:b/>
                <w:lang w:eastAsia="sr-Latn-CS"/>
              </w:rPr>
              <w:t>State Audit Institution</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2011</w:t>
            </w:r>
          </w:p>
          <w:p w:rsidR="00AE2771" w:rsidRPr="002B240D" w:rsidRDefault="00AE2771" w:rsidP="00CF189F">
            <w:pPr>
              <w:spacing w:after="0" w:line="240" w:lineRule="auto"/>
              <w:jc w:val="center"/>
              <w:rPr>
                <w:rFonts w:ascii="Cambria" w:eastAsia="Times New Roman" w:hAnsi="Cambria" w:cs="Helvetica"/>
                <w:b/>
                <w:lang w:eastAsia="sr-Latn-CS"/>
              </w:rPr>
            </w:pP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2012</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2013</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b/>
                <w:lang w:eastAsia="sr-Latn-CS"/>
              </w:rPr>
            </w:pPr>
            <w:r w:rsidRPr="002B240D">
              <w:rPr>
                <w:rFonts w:ascii="Cambria" w:eastAsia="Times New Roman" w:hAnsi="Cambria" w:cs="Helvetica"/>
                <w:b/>
                <w:lang w:eastAsia="sr-Latn-CS"/>
              </w:rPr>
              <w:t>Filed CC</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3</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11</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6</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b/>
                <w:lang w:eastAsia="sr-Latn-CS"/>
              </w:rPr>
            </w:pPr>
            <w:r w:rsidRPr="002B240D">
              <w:rPr>
                <w:rFonts w:ascii="Cambria" w:eastAsia="Times New Roman" w:hAnsi="Cambria" w:cs="Helvetica"/>
                <w:b/>
                <w:lang w:eastAsia="sr-Latn-CS"/>
              </w:rPr>
              <w:t>Rejected (no el. crim. offense)</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1</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2</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1</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b/>
                <w:lang w:eastAsia="sr-Latn-CS"/>
              </w:rPr>
            </w:pPr>
            <w:r w:rsidRPr="002B240D">
              <w:rPr>
                <w:rFonts w:ascii="Cambria" w:eastAsia="Times New Roman" w:hAnsi="Cambria" w:cs="Helvetica"/>
                <w:b/>
                <w:lang w:eastAsia="sr-Latn-CS"/>
              </w:rPr>
              <w:t>Rejected (obsolete)</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0</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1</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0</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b/>
                <w:lang w:eastAsia="sr-Latn-CS"/>
              </w:rPr>
            </w:pPr>
            <w:r w:rsidRPr="002B240D">
              <w:rPr>
                <w:rFonts w:ascii="Cambria" w:eastAsia="Times New Roman" w:hAnsi="Cambria" w:cs="Helvetica"/>
                <w:b/>
                <w:lang w:eastAsia="sr-Latn-CS"/>
              </w:rPr>
              <w:t>Postponing crim. prosecution/Rejection</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0</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0</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3</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b/>
                <w:lang w:eastAsia="sr-Latn-CS"/>
              </w:rPr>
            </w:pPr>
            <w:r w:rsidRPr="002B240D">
              <w:rPr>
                <w:rFonts w:ascii="Cambria" w:eastAsia="Times New Roman" w:hAnsi="Cambria" w:cs="Helvetica"/>
                <w:b/>
                <w:lang w:eastAsia="sr-Latn-CS"/>
              </w:rPr>
              <w:t xml:space="preserve">Indictments/indictments </w:t>
            </w:r>
          </w:p>
          <w:p w:rsidR="00AE2771" w:rsidRPr="002B240D" w:rsidRDefault="00AE2771" w:rsidP="00CF189F">
            <w:pPr>
              <w:spacing w:after="0" w:line="240" w:lineRule="auto"/>
              <w:rPr>
                <w:rFonts w:ascii="Cambria" w:eastAsia="Times New Roman" w:hAnsi="Cambria" w:cs="Helvetica"/>
                <w:b/>
                <w:lang w:eastAsia="sr-Latn-CS"/>
              </w:rPr>
            </w:pPr>
            <w:r w:rsidRPr="002B240D">
              <w:rPr>
                <w:rFonts w:ascii="Cambria" w:eastAsia="Times New Roman" w:hAnsi="Cambria" w:cs="Helvetica"/>
                <w:b/>
                <w:lang w:eastAsia="sr-Latn-CS"/>
              </w:rPr>
              <w:t>in summary procedure</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0</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0</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0</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b/>
                <w:lang w:eastAsia="sr-Latn-CS"/>
              </w:rPr>
            </w:pPr>
            <w:r w:rsidRPr="002B240D">
              <w:rPr>
                <w:rFonts w:ascii="Cambria" w:eastAsia="Times New Roman" w:hAnsi="Cambria" w:cs="Helvetica"/>
                <w:b/>
                <w:lang w:eastAsia="sr-Latn-CS"/>
              </w:rPr>
              <w:t>Ongoing proceedings</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2</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6</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2</w:t>
            </w:r>
          </w:p>
        </w:tc>
      </w:tr>
      <w:tr w:rsidR="00AE2771" w:rsidRPr="002B240D" w:rsidTr="00CF189F">
        <w:tc>
          <w:tcPr>
            <w:tcW w:w="0" w:type="auto"/>
            <w:shd w:val="clear" w:color="auto" w:fill="auto"/>
          </w:tcPr>
          <w:p w:rsidR="00AE2771" w:rsidRPr="002B240D" w:rsidRDefault="00AE2771" w:rsidP="00CF189F">
            <w:pPr>
              <w:spacing w:after="0" w:line="240" w:lineRule="auto"/>
              <w:rPr>
                <w:rFonts w:ascii="Cambria" w:eastAsia="Times New Roman" w:hAnsi="Cambria" w:cs="Helvetica"/>
                <w:b/>
                <w:lang w:eastAsia="sr-Latn-CS"/>
              </w:rPr>
            </w:pPr>
            <w:r w:rsidRPr="002B240D">
              <w:rPr>
                <w:rFonts w:ascii="Cambria" w:eastAsia="Times New Roman" w:hAnsi="Cambria" w:cs="Helvetica"/>
                <w:b/>
                <w:lang w:eastAsia="sr-Latn-CS"/>
              </w:rPr>
              <w:t>No information</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0</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1</w:t>
            </w:r>
          </w:p>
        </w:tc>
        <w:tc>
          <w:tcPr>
            <w:tcW w:w="0" w:type="auto"/>
            <w:shd w:val="clear" w:color="auto" w:fill="auto"/>
          </w:tcPr>
          <w:p w:rsidR="00AE2771" w:rsidRPr="002B240D" w:rsidRDefault="00AE2771" w:rsidP="00CF189F">
            <w:pPr>
              <w:spacing w:after="0" w:line="240" w:lineRule="auto"/>
              <w:jc w:val="center"/>
              <w:rPr>
                <w:rFonts w:ascii="Cambria" w:eastAsia="Times New Roman" w:hAnsi="Cambria" w:cs="Helvetica"/>
                <w:b/>
                <w:lang w:eastAsia="sr-Latn-CS"/>
              </w:rPr>
            </w:pPr>
            <w:r w:rsidRPr="002B240D">
              <w:rPr>
                <w:rFonts w:ascii="Cambria" w:eastAsia="Times New Roman" w:hAnsi="Cambria" w:cs="Helvetica"/>
                <w:b/>
                <w:lang w:eastAsia="sr-Latn-CS"/>
              </w:rPr>
              <w:t>0</w:t>
            </w:r>
          </w:p>
        </w:tc>
      </w:tr>
    </w:tbl>
    <w:p w:rsidR="00AE2771" w:rsidRPr="002B240D" w:rsidRDefault="00AE2771" w:rsidP="00AE2771">
      <w:pPr>
        <w:spacing w:after="0" w:line="240" w:lineRule="auto"/>
        <w:rPr>
          <w:rFonts w:ascii="Cambria" w:eastAsia="Times New Roman" w:hAnsi="Cambria" w:cs="Helvetica"/>
          <w:lang w:eastAsia="sr-Latn-CS"/>
        </w:rPr>
      </w:pPr>
    </w:p>
    <w:p w:rsidR="00AE2771" w:rsidRPr="002B240D" w:rsidRDefault="00AE2771" w:rsidP="00AE2771">
      <w:pPr>
        <w:spacing w:after="0" w:line="240" w:lineRule="auto"/>
        <w:rPr>
          <w:rFonts w:ascii="Times New Roman" w:eastAsia="Times New Roman" w:hAnsi="Times New Roman" w:cs="Times New Roman"/>
          <w:sz w:val="24"/>
          <w:szCs w:val="24"/>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b/>
          <w:lang w:eastAsia="sr-Latn-CS"/>
        </w:rPr>
        <w:t>The Commissioner for</w:t>
      </w:r>
      <w:r w:rsidR="002616FE">
        <w:rPr>
          <w:rFonts w:ascii="Cambria" w:eastAsia="Times New Roman" w:hAnsi="Cambria" w:cs="Helvetica"/>
          <w:b/>
          <w:lang w:eastAsia="sr-Latn-CS"/>
        </w:rPr>
        <w:t xml:space="preserve"> Information of Public Importance</w:t>
      </w:r>
      <w:r w:rsidRPr="002B240D">
        <w:rPr>
          <w:rFonts w:ascii="Cambria" w:eastAsia="Times New Roman" w:hAnsi="Cambria" w:cs="Helvetica"/>
          <w:b/>
          <w:lang w:eastAsia="sr-Latn-CS"/>
        </w:rPr>
        <w:t xml:space="preserve"> and Personal Data Protection</w:t>
      </w:r>
      <w:r w:rsidRPr="002B240D">
        <w:rPr>
          <w:rFonts w:ascii="Cambria" w:eastAsia="Times New Roman" w:hAnsi="Cambria" w:cs="Helvetica"/>
          <w:lang w:eastAsia="sr-Latn-CS"/>
        </w:rPr>
        <w:t xml:space="preserve"> filed four charges in the observed period. Two prosecutor's offices did not deliver data on handling the charges (BPP Pirot and BPP Leskovac) whilst the HPP in Belgrade answered that in one case (a charge from April 2011) the pre-trial criminal proceedings are still pending, and in another (ch</w:t>
      </w:r>
      <w:bookmarkStart w:id="0" w:name="_GoBack"/>
      <w:bookmarkEnd w:id="0"/>
      <w:r w:rsidRPr="002B240D">
        <w:rPr>
          <w:rFonts w:ascii="Cambria" w:eastAsia="Times New Roman" w:hAnsi="Cambria" w:cs="Helvetica"/>
          <w:lang w:eastAsia="sr-Latn-CS"/>
        </w:rPr>
        <w:t xml:space="preserve">arges from December 2012) an indictment in summary procedure has been filed and the proceedings are in the trial phase. </w:t>
      </w:r>
    </w:p>
    <w:p w:rsidR="00AE2771" w:rsidRPr="002B240D" w:rsidRDefault="00AE2771" w:rsidP="00AE2771">
      <w:pPr>
        <w:spacing w:after="0" w:line="240" w:lineRule="auto"/>
        <w:jc w:val="both"/>
        <w:rPr>
          <w:rFonts w:ascii="Cambria" w:eastAsia="Times New Roman" w:hAnsi="Cambria" w:cs="Helvetica"/>
          <w:lang w:eastAsia="sr-Latn-CS"/>
        </w:rPr>
      </w:pPr>
    </w:p>
    <w:p w:rsidR="00AE2771" w:rsidRPr="002B240D" w:rsidRDefault="00AE2771" w:rsidP="00AE2771">
      <w:pPr>
        <w:spacing w:after="0" w:line="240" w:lineRule="auto"/>
        <w:rPr>
          <w:rFonts w:ascii="Cambria" w:eastAsia="Times New Roman" w:hAnsi="Cambria" w:cs="Times New Roman"/>
          <w:b/>
          <w:lang w:eastAsia="sr-Latn-CS"/>
        </w:rPr>
      </w:pPr>
    </w:p>
    <w:p w:rsidR="00AE2771" w:rsidRPr="002B240D" w:rsidRDefault="00AE2771" w:rsidP="00AE2771">
      <w:pPr>
        <w:spacing w:after="0" w:line="240" w:lineRule="auto"/>
        <w:rPr>
          <w:rFonts w:ascii="Cambria" w:eastAsia="Times New Roman" w:hAnsi="Cambria" w:cs="Times New Roman"/>
          <w:b/>
          <w:lang w:eastAsia="sr-Latn-CS"/>
        </w:rPr>
      </w:pPr>
      <w:r w:rsidRPr="002B240D">
        <w:rPr>
          <w:rFonts w:ascii="Cambria" w:eastAsia="Times New Roman" w:hAnsi="Cambria" w:cs="Times New Roman"/>
          <w:b/>
          <w:lang w:eastAsia="sr-Latn-CS"/>
        </w:rPr>
        <w:t xml:space="preserve">Proactive Work of the Public Prosecutor's Office and the Public Attorney's Office </w:t>
      </w:r>
    </w:p>
    <w:p w:rsidR="00AE2771" w:rsidRPr="002B240D" w:rsidRDefault="00AE2771" w:rsidP="00AE2771">
      <w:pPr>
        <w:spacing w:after="0" w:line="240" w:lineRule="auto"/>
        <w:rPr>
          <w:rFonts w:ascii="Cambria" w:eastAsia="Times New Roman" w:hAnsi="Cambria" w:cs="Times New Roman"/>
          <w:b/>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 xml:space="preserve">Transparency Serbia also monitored how the public prosecutor’s office in Serbia works, not only regarding criminal charges filed by independent bodies, but also how they reacted to the publication of regular and irregular reports in the area of work of independent bodies. </w:t>
      </w:r>
    </w:p>
    <w:p w:rsidR="00AE2771" w:rsidRPr="002B240D" w:rsidRDefault="00AE2771" w:rsidP="00AE2771">
      <w:pPr>
        <w:spacing w:after="0" w:line="240" w:lineRule="auto"/>
        <w:jc w:val="both"/>
        <w:rPr>
          <w:rFonts w:ascii="Cambria" w:eastAsia="Times New Roman" w:hAnsi="Cambria" w:cs="Helvetica"/>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 xml:space="preserve">It was concluded that the </w:t>
      </w:r>
      <w:r w:rsidRPr="002B240D">
        <w:rPr>
          <w:rFonts w:ascii="Cambria" w:eastAsia="Times New Roman" w:hAnsi="Cambria" w:cs="Helvetica"/>
          <w:b/>
          <w:lang w:eastAsia="sr-Latn-CS"/>
        </w:rPr>
        <w:t>audit report of the</w:t>
      </w:r>
      <w:r w:rsidRPr="002B240D">
        <w:rPr>
          <w:rFonts w:ascii="Cambria" w:eastAsia="Times New Roman" w:hAnsi="Cambria" w:cs="Helvetica"/>
          <w:lang w:eastAsia="sr-Latn-CS"/>
        </w:rPr>
        <w:t xml:space="preserve"> </w:t>
      </w:r>
      <w:r w:rsidR="004366B2">
        <w:rPr>
          <w:rFonts w:ascii="Cambria" w:eastAsia="Times New Roman" w:hAnsi="Cambria" w:cs="Helvetica"/>
          <w:b/>
          <w:lang w:eastAsia="sr-Latn-CS"/>
        </w:rPr>
        <w:t>P</w:t>
      </w:r>
      <w:r w:rsidRPr="002B240D">
        <w:rPr>
          <w:rFonts w:ascii="Cambria" w:eastAsia="Times New Roman" w:hAnsi="Cambria" w:cs="Helvetica"/>
          <w:b/>
          <w:lang w:eastAsia="sr-Latn-CS"/>
        </w:rPr>
        <w:t xml:space="preserve">ublic </w:t>
      </w:r>
      <w:r w:rsidR="004366B2">
        <w:rPr>
          <w:rFonts w:ascii="Cambria" w:eastAsia="Times New Roman" w:hAnsi="Cambria" w:cs="Helvetica"/>
          <w:b/>
          <w:lang w:eastAsia="sr-Latn-CS"/>
        </w:rPr>
        <w:t>P</w:t>
      </w:r>
      <w:r w:rsidRPr="002B240D">
        <w:rPr>
          <w:rFonts w:ascii="Cambria" w:eastAsia="Times New Roman" w:hAnsi="Cambria" w:cs="Helvetica"/>
          <w:b/>
          <w:lang w:eastAsia="sr-Latn-CS"/>
        </w:rPr>
        <w:t xml:space="preserve">rosecutor’s </w:t>
      </w:r>
      <w:r w:rsidR="004366B2">
        <w:rPr>
          <w:rFonts w:ascii="Cambria" w:eastAsia="Times New Roman" w:hAnsi="Cambria" w:cs="Helvetica"/>
          <w:b/>
          <w:lang w:eastAsia="sr-Latn-CS"/>
        </w:rPr>
        <w:t>O</w:t>
      </w:r>
      <w:r w:rsidRPr="002B240D">
        <w:rPr>
          <w:rFonts w:ascii="Cambria" w:eastAsia="Times New Roman" w:hAnsi="Cambria" w:cs="Helvetica"/>
          <w:b/>
          <w:lang w:eastAsia="sr-Latn-CS"/>
        </w:rPr>
        <w:t xml:space="preserve">ffice </w:t>
      </w:r>
      <w:r w:rsidRPr="002B240D">
        <w:rPr>
          <w:rFonts w:ascii="Cambria" w:eastAsia="Times New Roman" w:hAnsi="Cambria" w:cs="Helvetica"/>
          <w:lang w:eastAsia="sr-Latn-CS"/>
        </w:rPr>
        <w:t xml:space="preserve">in which numerous violations of the Public Procurement Law, the Law on the Budget System and other legislation are enumerated, </w:t>
      </w:r>
      <w:r w:rsidRPr="002B240D">
        <w:rPr>
          <w:rFonts w:ascii="Cambria" w:eastAsia="Times New Roman" w:hAnsi="Cambria" w:cs="Helvetica"/>
          <w:b/>
          <w:lang w:eastAsia="sr-Latn-CS"/>
        </w:rPr>
        <w:t xml:space="preserve">does not recognize this material as grounds for acting upon this matter, </w:t>
      </w:r>
      <w:r w:rsidRPr="002B240D">
        <w:rPr>
          <w:rFonts w:ascii="Cambria" w:eastAsia="Times New Roman" w:hAnsi="Cambria" w:cs="Helvetica"/>
          <w:lang w:eastAsia="sr-Latn-CS"/>
        </w:rPr>
        <w:t>i.e. for examining whether there is abuse of office, improper spending of budget funds or other criminal offenses.</w:t>
      </w:r>
    </w:p>
    <w:p w:rsidR="00AE2771" w:rsidRPr="002B240D" w:rsidRDefault="00AE2771" w:rsidP="00AE2771">
      <w:pPr>
        <w:spacing w:after="0" w:line="240" w:lineRule="auto"/>
        <w:jc w:val="both"/>
        <w:rPr>
          <w:rFonts w:ascii="Cambria" w:eastAsia="Times New Roman" w:hAnsi="Cambria" w:cs="Helvetica"/>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Pr>
          <w:rFonts w:ascii="Cambria" w:eastAsia="Times New Roman" w:hAnsi="Cambria" w:cs="Helvetica"/>
          <w:lang w:eastAsia="sr-Latn-CS"/>
        </w:rPr>
        <w:t>Due to the fact that</w:t>
      </w:r>
      <w:r w:rsidRPr="002B240D">
        <w:rPr>
          <w:rFonts w:ascii="Cambria" w:eastAsia="Times New Roman" w:hAnsi="Cambria" w:cs="Helvetica"/>
          <w:lang w:eastAsia="sr-Latn-CS"/>
        </w:rPr>
        <w:t xml:space="preserve"> SAI filed about 30 audit reports on the enforced audits and measures it carried out itself regarding the sanctioning of irregularities, and in the period between 2011-2013 </w:t>
      </w:r>
      <w:r w:rsidRPr="002B240D">
        <w:rPr>
          <w:rFonts w:ascii="Cambria" w:eastAsia="Times New Roman" w:hAnsi="Cambria" w:cs="Helvetica"/>
          <w:b/>
          <w:lang w:eastAsia="sr-Latn-CS"/>
        </w:rPr>
        <w:t xml:space="preserve">published around 200 audit reports, it is clear that there </w:t>
      </w:r>
      <w:r w:rsidR="004366B2">
        <w:rPr>
          <w:rFonts w:ascii="Cambria" w:eastAsia="Times New Roman" w:hAnsi="Cambria" w:cs="Helvetica"/>
          <w:b/>
          <w:lang w:eastAsia="sr-Latn-CS"/>
        </w:rPr>
        <w:t>is room and great need for the P</w:t>
      </w:r>
      <w:r w:rsidRPr="002B240D">
        <w:rPr>
          <w:rFonts w:ascii="Cambria" w:eastAsia="Times New Roman" w:hAnsi="Cambria" w:cs="Helvetica"/>
          <w:b/>
          <w:lang w:eastAsia="sr-Latn-CS"/>
        </w:rPr>
        <w:t xml:space="preserve">ublic </w:t>
      </w:r>
      <w:r w:rsidR="004366B2">
        <w:rPr>
          <w:rFonts w:ascii="Cambria" w:eastAsia="Times New Roman" w:hAnsi="Cambria" w:cs="Helvetica"/>
          <w:b/>
          <w:lang w:eastAsia="sr-Latn-CS"/>
        </w:rPr>
        <w:t>P</w:t>
      </w:r>
      <w:r w:rsidRPr="002B240D">
        <w:rPr>
          <w:rFonts w:ascii="Cambria" w:eastAsia="Times New Roman" w:hAnsi="Cambria" w:cs="Helvetica"/>
          <w:b/>
          <w:lang w:eastAsia="sr-Latn-CS"/>
        </w:rPr>
        <w:t xml:space="preserve">rosecutor’s </w:t>
      </w:r>
      <w:r w:rsidR="004366B2">
        <w:rPr>
          <w:rFonts w:ascii="Cambria" w:eastAsia="Times New Roman" w:hAnsi="Cambria" w:cs="Helvetica"/>
          <w:b/>
          <w:lang w:eastAsia="sr-Latn-CS"/>
        </w:rPr>
        <w:t>O</w:t>
      </w:r>
      <w:r w:rsidRPr="002B240D">
        <w:rPr>
          <w:rFonts w:ascii="Cambria" w:eastAsia="Times New Roman" w:hAnsi="Cambria" w:cs="Helvetica"/>
          <w:b/>
          <w:lang w:eastAsia="sr-Latn-CS"/>
        </w:rPr>
        <w:t>ffice to be more proactive</w:t>
      </w:r>
      <w:r w:rsidRPr="002B240D">
        <w:rPr>
          <w:rFonts w:ascii="Cambria" w:eastAsia="Times New Roman" w:hAnsi="Cambria" w:cs="Helvetica"/>
          <w:lang w:eastAsia="sr-Latn-CS"/>
        </w:rPr>
        <w:t xml:space="preserve">. </w:t>
      </w:r>
    </w:p>
    <w:p w:rsidR="00AE2771" w:rsidRPr="002B240D" w:rsidRDefault="00AE2771" w:rsidP="00AE2771">
      <w:pPr>
        <w:spacing w:after="0" w:line="240" w:lineRule="auto"/>
        <w:jc w:val="both"/>
        <w:rPr>
          <w:rFonts w:ascii="Times New Roman" w:eastAsia="Times New Roman" w:hAnsi="Times New Roman" w:cs="Times New Roman"/>
          <w:sz w:val="24"/>
          <w:szCs w:val="24"/>
          <w:lang w:eastAsia="sr-Latn-CS"/>
        </w:rPr>
      </w:pPr>
    </w:p>
    <w:p w:rsidR="00AE2771" w:rsidRPr="002B240D" w:rsidRDefault="00AE2771" w:rsidP="00AE2771">
      <w:pPr>
        <w:spacing w:after="0" w:line="240" w:lineRule="auto"/>
        <w:jc w:val="both"/>
        <w:rPr>
          <w:rFonts w:ascii="Cambria" w:eastAsia="Times New Roman" w:hAnsi="Cambria" w:cs="Helvetica"/>
          <w:b/>
          <w:lang w:eastAsia="sr-Latn-CS"/>
        </w:rPr>
      </w:pPr>
      <w:r w:rsidRPr="002B240D">
        <w:rPr>
          <w:rFonts w:ascii="Cambria" w:eastAsia="Times New Roman" w:hAnsi="Cambria" w:cs="Helvetica"/>
          <w:b/>
          <w:lang w:eastAsia="sr-Latn-CS"/>
        </w:rPr>
        <w:t xml:space="preserve">The reports have also been submitted to the Public Attorney's Office. The Public Attorney's Office in the greatest number of cases interprets that the SAI submits reports in order </w:t>
      </w:r>
      <w:r w:rsidR="0071495C">
        <w:rPr>
          <w:rFonts w:ascii="Cambria" w:eastAsia="Times New Roman" w:hAnsi="Cambria" w:cs="Helvetica"/>
          <w:b/>
          <w:lang w:eastAsia="sr-Latn-CS"/>
        </w:rPr>
        <w:t xml:space="preserve">for the Public Attorney </w:t>
      </w:r>
      <w:r w:rsidRPr="002B240D">
        <w:rPr>
          <w:rFonts w:ascii="Cambria" w:eastAsia="Times New Roman" w:hAnsi="Cambria" w:cs="Helvetica"/>
          <w:b/>
          <w:lang w:eastAsia="sr-Latn-CS"/>
        </w:rPr>
        <w:t xml:space="preserve">to get acquainted with them, or rather there is no obligation stipulated for initiating proceedings for determining potential damages for budgets of local self-governments, resulting from violations of legislation that were noticed in reports of the audits. This is the case even when the violations are filed for misdemeanor and criminal charges. </w:t>
      </w:r>
    </w:p>
    <w:p w:rsidR="00AE2771" w:rsidRPr="002B240D" w:rsidRDefault="00AE2771" w:rsidP="00AE2771">
      <w:pPr>
        <w:spacing w:after="0" w:line="240" w:lineRule="auto"/>
        <w:jc w:val="both"/>
        <w:rPr>
          <w:rFonts w:ascii="Cambria" w:eastAsia="Times New Roman" w:hAnsi="Cambria" w:cs="Helvetica"/>
          <w:b/>
          <w:lang w:eastAsia="sr-Latn-CS"/>
        </w:rPr>
      </w:pPr>
    </w:p>
    <w:p w:rsidR="00AE2771" w:rsidRPr="002B240D" w:rsidRDefault="00AE2771" w:rsidP="00AE2771">
      <w:pPr>
        <w:spacing w:after="0" w:line="240" w:lineRule="auto"/>
        <w:jc w:val="both"/>
        <w:rPr>
          <w:rFonts w:ascii="Cambria" w:eastAsia="Times New Roman" w:hAnsi="Cambria" w:cs="Helvetica"/>
          <w:b/>
          <w:lang w:eastAsia="sr-Latn-CS"/>
        </w:rPr>
      </w:pPr>
      <w:r w:rsidRPr="002B240D">
        <w:rPr>
          <w:rFonts w:ascii="Cambria" w:eastAsia="Times New Roman" w:hAnsi="Cambria" w:cs="Helvetica"/>
          <w:b/>
          <w:lang w:eastAsia="sr-Latn-CS"/>
        </w:rPr>
        <w:t>The Writing of the Media on the Work of Independent Bodies</w:t>
      </w:r>
    </w:p>
    <w:p w:rsidR="00AE2771" w:rsidRPr="002B240D" w:rsidRDefault="00AE2771" w:rsidP="00AE2771">
      <w:pPr>
        <w:spacing w:after="0" w:line="240" w:lineRule="auto"/>
        <w:jc w:val="both"/>
        <w:rPr>
          <w:rFonts w:ascii="Cambria" w:eastAsia="Times New Roman" w:hAnsi="Cambria" w:cs="Helvetica"/>
          <w:b/>
          <w:lang w:eastAsia="sr-Latn-CS"/>
        </w:rPr>
      </w:pPr>
    </w:p>
    <w:p w:rsidR="00AE2771" w:rsidRPr="002B240D" w:rsidRDefault="00AE2771" w:rsidP="00AE2771">
      <w:pPr>
        <w:spacing w:after="0" w:line="240" w:lineRule="auto"/>
        <w:jc w:val="both"/>
        <w:rPr>
          <w:rFonts w:ascii="Cambria" w:eastAsia="Times New Roman" w:hAnsi="Cambria" w:cs="Helvetica"/>
          <w:lang w:eastAsia="sr-Latn-CS"/>
        </w:rPr>
      </w:pPr>
      <w:r w:rsidRPr="002B240D">
        <w:rPr>
          <w:rFonts w:ascii="Cambria" w:eastAsia="Times New Roman" w:hAnsi="Cambria" w:cs="Helvetica"/>
          <w:lang w:eastAsia="sr-Latn-CS"/>
        </w:rPr>
        <w:t>The writing of the printed media was analyzed in the monitoring on misdemeanor proceedings initiated on the grounds of complaints, or rather based on requests for initiating misdemeanor proceedings and criminal charges that were filed by independent bodies, primarily the Anti-corruption Agency and the State Audit Institutions.</w:t>
      </w:r>
    </w:p>
    <w:p w:rsidR="00AE2771" w:rsidRPr="002B240D" w:rsidRDefault="00AE2771" w:rsidP="00AE2771">
      <w:pPr>
        <w:spacing w:after="0" w:line="240" w:lineRule="auto"/>
        <w:jc w:val="both"/>
        <w:rPr>
          <w:rFonts w:ascii="Cambria" w:eastAsia="Times New Roman" w:hAnsi="Cambria" w:cs="Helvetica"/>
          <w:b/>
          <w:lang w:eastAsia="sr-Latn-CS"/>
        </w:rPr>
      </w:pPr>
    </w:p>
    <w:p w:rsidR="00AE2771" w:rsidRDefault="00AE2771" w:rsidP="00AE2771">
      <w:pPr>
        <w:spacing w:after="0" w:line="240" w:lineRule="auto"/>
        <w:jc w:val="both"/>
        <w:rPr>
          <w:rFonts w:ascii="Cambria" w:eastAsia="Times New Roman" w:hAnsi="Cambria" w:cs="Helvetica"/>
          <w:b/>
          <w:lang w:eastAsia="sr-Latn-CS"/>
        </w:rPr>
      </w:pPr>
      <w:r w:rsidRPr="002B240D">
        <w:rPr>
          <w:rFonts w:ascii="Cambria" w:eastAsia="Times New Roman" w:hAnsi="Cambria" w:cs="Helvetica"/>
          <w:lang w:eastAsia="sr-Latn-CS"/>
        </w:rPr>
        <w:t xml:space="preserve">Regarding the work of the Anti-corruption Agency, </w:t>
      </w:r>
      <w:r w:rsidRPr="002B240D">
        <w:rPr>
          <w:rFonts w:ascii="Cambria" w:eastAsia="Times New Roman" w:hAnsi="Cambria" w:cs="Helvetica"/>
          <w:b/>
          <w:lang w:eastAsia="sr-Latn-CS"/>
        </w:rPr>
        <w:t>it is</w:t>
      </w:r>
      <w:r w:rsidRPr="002B240D">
        <w:rPr>
          <w:rFonts w:ascii="Cambria" w:eastAsia="Times New Roman" w:hAnsi="Cambria" w:cs="Helvetica"/>
          <w:lang w:eastAsia="sr-Latn-CS"/>
        </w:rPr>
        <w:t xml:space="preserve"> </w:t>
      </w:r>
      <w:r w:rsidRPr="002B240D">
        <w:rPr>
          <w:rFonts w:ascii="Cambria" w:eastAsia="Times New Roman" w:hAnsi="Cambria" w:cs="Helvetica"/>
          <w:b/>
          <w:lang w:eastAsia="sr-Latn-CS"/>
        </w:rPr>
        <w:t xml:space="preserve">typical for almost all media outlets to periodically transmit announcements that some of the deadlines are expiring, to ask whether an official or party fulfilled its obligation a few days prior to the expiration of a deadline, and to never ask the question of sanctioning those who did not fulfill this obligation. The media also typically reports on the SAI stating numerous irregularities, significant focus is devoted to the filed charges and reactions to the charges, however there is a very low amount of news on resolved charges or the fact </w:t>
      </w:r>
      <w:r w:rsidR="0071495C">
        <w:rPr>
          <w:rFonts w:ascii="Cambria" w:eastAsia="Times New Roman" w:hAnsi="Cambria" w:cs="Helvetica"/>
          <w:b/>
          <w:lang w:eastAsia="sr-Latn-CS"/>
        </w:rPr>
        <w:t xml:space="preserve">that it </w:t>
      </w:r>
      <w:r w:rsidR="0071495C" w:rsidRPr="002B240D">
        <w:rPr>
          <w:rFonts w:ascii="Cambria" w:eastAsia="Times New Roman" w:hAnsi="Cambria" w:cs="Helvetica"/>
          <w:b/>
          <w:lang w:eastAsia="sr-Latn-CS"/>
        </w:rPr>
        <w:t>takes too long</w:t>
      </w:r>
      <w:r w:rsidR="0071495C">
        <w:rPr>
          <w:rFonts w:ascii="Cambria" w:eastAsia="Times New Roman" w:hAnsi="Cambria" w:cs="Helvetica"/>
          <w:b/>
          <w:lang w:eastAsia="sr-Latn-CS"/>
        </w:rPr>
        <w:t xml:space="preserve"> to resolve the charges</w:t>
      </w:r>
      <w:r w:rsidRPr="002B240D">
        <w:rPr>
          <w:rFonts w:ascii="Cambria" w:eastAsia="Times New Roman" w:hAnsi="Cambria" w:cs="Helvetica"/>
          <w:b/>
          <w:lang w:eastAsia="sr-Latn-CS"/>
        </w:rPr>
        <w:t>.</w:t>
      </w:r>
    </w:p>
    <w:p w:rsidR="00AE2771" w:rsidRDefault="00AE2771" w:rsidP="00AE2771">
      <w:pPr>
        <w:spacing w:after="0" w:line="240" w:lineRule="auto"/>
        <w:jc w:val="both"/>
        <w:rPr>
          <w:rFonts w:ascii="Cambria" w:eastAsia="Times New Roman" w:hAnsi="Cambria" w:cs="Helvetica"/>
          <w:b/>
          <w:lang w:eastAsia="sr-Latn-CS"/>
        </w:rPr>
      </w:pPr>
    </w:p>
    <w:p w:rsidR="00AE2771" w:rsidRDefault="00AE2771" w:rsidP="00AE2771">
      <w:pPr>
        <w:spacing w:after="0" w:line="240" w:lineRule="auto"/>
        <w:jc w:val="both"/>
        <w:rPr>
          <w:rFonts w:ascii="Cambria" w:eastAsia="Times New Roman" w:hAnsi="Cambria" w:cs="Helvetica"/>
          <w:b/>
          <w:lang w:eastAsia="sr-Latn-CS"/>
        </w:rPr>
      </w:pPr>
      <w:r>
        <w:rPr>
          <w:rFonts w:ascii="Cambria" w:eastAsia="Times New Roman" w:hAnsi="Cambria" w:cs="Helvetica"/>
          <w:b/>
          <w:lang w:eastAsia="sr-Latn-CS"/>
        </w:rPr>
        <w:t>Main Recommendations</w:t>
      </w:r>
    </w:p>
    <w:p w:rsidR="00AE2771" w:rsidRDefault="00AE2771" w:rsidP="00AE2771">
      <w:pPr>
        <w:spacing w:after="0" w:line="240" w:lineRule="auto"/>
        <w:jc w:val="both"/>
        <w:rPr>
          <w:rFonts w:ascii="Cambria" w:eastAsia="Times New Roman" w:hAnsi="Cambria" w:cs="Helvetica"/>
          <w:b/>
          <w:lang w:eastAsia="sr-Latn-CS"/>
        </w:rPr>
      </w:pPr>
    </w:p>
    <w:p w:rsidR="00AE2771" w:rsidRPr="00490F8C" w:rsidRDefault="00AE2771" w:rsidP="00AE2771">
      <w:pPr>
        <w:spacing w:after="0" w:line="240" w:lineRule="auto"/>
        <w:jc w:val="both"/>
        <w:rPr>
          <w:rFonts w:ascii="Cambria" w:eastAsia="Times New Roman" w:hAnsi="Cambria" w:cs="Helvetica"/>
          <w:b/>
          <w:u w:val="single"/>
          <w:lang w:eastAsia="sr-Latn-CS"/>
        </w:rPr>
      </w:pPr>
      <w:r w:rsidRPr="00490F8C">
        <w:rPr>
          <w:rFonts w:ascii="Cambria" w:eastAsia="Times New Roman" w:hAnsi="Cambria" w:cs="Helvetica"/>
          <w:b/>
          <w:u w:val="single"/>
          <w:lang w:eastAsia="sr-Latn-CS"/>
        </w:rPr>
        <w:t>Regarding misdemeanor prosecution</w:t>
      </w:r>
    </w:p>
    <w:p w:rsidR="00AE2771" w:rsidRDefault="00AE2771" w:rsidP="00AE2771">
      <w:pPr>
        <w:spacing w:after="0" w:line="240" w:lineRule="auto"/>
        <w:jc w:val="both"/>
        <w:rPr>
          <w:rFonts w:ascii="Cambria" w:eastAsia="Times New Roman" w:hAnsi="Cambria" w:cs="Helvetica"/>
          <w:b/>
          <w:lang w:eastAsia="sr-Latn-CS"/>
        </w:rPr>
      </w:pPr>
    </w:p>
    <w:p w:rsidR="00AE2771" w:rsidRPr="00D06F1D" w:rsidRDefault="00AE2771" w:rsidP="00D06F1D">
      <w:pPr>
        <w:pStyle w:val="ListParagraph"/>
        <w:numPr>
          <w:ilvl w:val="1"/>
          <w:numId w:val="4"/>
        </w:numPr>
        <w:spacing w:after="0" w:line="240" w:lineRule="auto"/>
        <w:jc w:val="both"/>
        <w:rPr>
          <w:rFonts w:ascii="Cambria" w:eastAsia="Times New Roman" w:hAnsi="Cambria" w:cs="Helvetica"/>
          <w:lang w:eastAsia="sr-Latn-CS"/>
        </w:rPr>
      </w:pPr>
      <w:r w:rsidRPr="00D06F1D">
        <w:rPr>
          <w:rFonts w:ascii="Cambria" w:eastAsia="Times New Roman" w:hAnsi="Cambria" w:cs="Helvetica"/>
          <w:lang w:eastAsia="sr-Latn-CS"/>
        </w:rPr>
        <w:t>Specialization of judges who are tasked with resolving cases that are initiated on the grounds of violating anti-corruption legislation</w:t>
      </w:r>
    </w:p>
    <w:p w:rsidR="00AE2771" w:rsidRDefault="00AE2771" w:rsidP="00AE2771">
      <w:pPr>
        <w:spacing w:after="0" w:line="240" w:lineRule="auto"/>
        <w:jc w:val="both"/>
        <w:rPr>
          <w:rFonts w:ascii="Cambria" w:eastAsia="Times New Roman" w:hAnsi="Cambria" w:cs="Helvetica"/>
          <w:lang w:eastAsia="sr-Latn-CS"/>
        </w:rPr>
      </w:pPr>
    </w:p>
    <w:p w:rsidR="00AE2771" w:rsidRPr="00D06F1D" w:rsidRDefault="00AE2771" w:rsidP="00D06F1D">
      <w:pPr>
        <w:pStyle w:val="ListParagraph"/>
        <w:numPr>
          <w:ilvl w:val="1"/>
          <w:numId w:val="4"/>
        </w:numPr>
        <w:spacing w:after="0" w:line="240" w:lineRule="auto"/>
        <w:jc w:val="both"/>
        <w:rPr>
          <w:rFonts w:ascii="Cambria" w:eastAsia="Times New Roman" w:hAnsi="Cambria" w:cs="Helvetica"/>
          <w:lang w:eastAsia="sr-Latn-CS"/>
        </w:rPr>
      </w:pPr>
      <w:r w:rsidRPr="00D06F1D">
        <w:rPr>
          <w:rFonts w:ascii="Cambria" w:eastAsia="Times New Roman" w:hAnsi="Cambria" w:cs="Helvetica"/>
          <w:lang w:eastAsia="sr-Latn-CS"/>
        </w:rPr>
        <w:t>Enhancing the cooperation between independent state authorities and courts, in order to improve the quality of requests for initiating misdemeanor proceedings</w:t>
      </w:r>
    </w:p>
    <w:p w:rsidR="00AE2771" w:rsidRDefault="00AE2771" w:rsidP="00AE2771">
      <w:pPr>
        <w:spacing w:after="0" w:line="240" w:lineRule="auto"/>
        <w:jc w:val="both"/>
        <w:rPr>
          <w:rFonts w:ascii="Cambria" w:eastAsia="Times New Roman" w:hAnsi="Cambria" w:cs="Helvetica"/>
          <w:lang w:eastAsia="sr-Latn-CS"/>
        </w:rPr>
      </w:pPr>
    </w:p>
    <w:p w:rsidR="00AE2771" w:rsidRPr="00D06F1D" w:rsidRDefault="00AE2771" w:rsidP="00D06F1D">
      <w:pPr>
        <w:pStyle w:val="ListParagraph"/>
        <w:numPr>
          <w:ilvl w:val="1"/>
          <w:numId w:val="4"/>
        </w:numPr>
        <w:rPr>
          <w:rFonts w:ascii="Cambria" w:hAnsi="Cambria" w:cs="Helvetica"/>
        </w:rPr>
      </w:pPr>
      <w:r w:rsidRPr="00D06F1D">
        <w:rPr>
          <w:rFonts w:ascii="Cambria" w:hAnsi="Cambria" w:cs="Helvetica"/>
        </w:rPr>
        <w:t>Courts handling cases more efficiently and/or extension of deadlines for the statute of limitations, particularly regarding the La</w:t>
      </w:r>
      <w:r w:rsidR="008B5A83">
        <w:rPr>
          <w:rFonts w:ascii="Cambria" w:hAnsi="Cambria" w:cs="Helvetica"/>
        </w:rPr>
        <w:t xml:space="preserve">w on the Anti-corruption Agency, </w:t>
      </w:r>
      <w:r w:rsidRPr="00D06F1D">
        <w:rPr>
          <w:rFonts w:ascii="Cambria" w:hAnsi="Cambria" w:cs="Helvetica"/>
        </w:rPr>
        <w:t>the Law on Free Access to Information of Public Information</w:t>
      </w:r>
      <w:r w:rsidR="008B5A83">
        <w:rPr>
          <w:rFonts w:ascii="Cambria" w:hAnsi="Cambria" w:cs="Helvetica"/>
        </w:rPr>
        <w:t xml:space="preserve"> and Law on Personal Data Protection</w:t>
      </w:r>
    </w:p>
    <w:p w:rsidR="00AE2771" w:rsidRPr="00D06F1D" w:rsidRDefault="00AE2771" w:rsidP="00D06F1D">
      <w:pPr>
        <w:pStyle w:val="ListParagraph"/>
        <w:numPr>
          <w:ilvl w:val="1"/>
          <w:numId w:val="4"/>
        </w:numPr>
        <w:rPr>
          <w:rFonts w:ascii="Cambria" w:hAnsi="Cambria" w:cs="Helvetica"/>
        </w:rPr>
      </w:pPr>
      <w:r w:rsidRPr="00D06F1D">
        <w:rPr>
          <w:rFonts w:ascii="Cambria" w:hAnsi="Cambria" w:cs="Helvetica"/>
        </w:rPr>
        <w:t>Amendments to the  Law on Free Access to Information of Public Information for more efficient monitoring and initiating a higher number of proceedings for violating the law</w:t>
      </w:r>
    </w:p>
    <w:p w:rsidR="00AE2771" w:rsidRPr="00D06F1D" w:rsidRDefault="00AE2771" w:rsidP="00D06F1D">
      <w:pPr>
        <w:pStyle w:val="ListParagraph"/>
        <w:numPr>
          <w:ilvl w:val="1"/>
          <w:numId w:val="4"/>
        </w:numPr>
        <w:rPr>
          <w:rFonts w:ascii="Cambria" w:hAnsi="Cambria" w:cs="Helvetica"/>
        </w:rPr>
      </w:pPr>
      <w:r w:rsidRPr="00D06F1D">
        <w:rPr>
          <w:rFonts w:ascii="Cambria" w:hAnsi="Cambria" w:cs="Helvetica"/>
        </w:rPr>
        <w:t>Enhancing the efficiency of independent authorities in recognizing acts that have characteristics of misdemeanors and initiating misdemeanor proceedings, with possible engagement of external associates, which is allowed by the Law on the State Audit Institution and the Law on the Anti-corruption Agency</w:t>
      </w:r>
    </w:p>
    <w:p w:rsidR="00AE2771" w:rsidRPr="00D06F1D" w:rsidRDefault="00AE2771" w:rsidP="00D06F1D">
      <w:pPr>
        <w:pStyle w:val="ListParagraph"/>
        <w:numPr>
          <w:ilvl w:val="1"/>
          <w:numId w:val="4"/>
        </w:numPr>
        <w:rPr>
          <w:rFonts w:ascii="Cambria" w:hAnsi="Cambria" w:cs="Helvetica"/>
        </w:rPr>
      </w:pPr>
      <w:r w:rsidRPr="00D06F1D">
        <w:rPr>
          <w:rFonts w:ascii="Cambria" w:hAnsi="Cambria" w:cs="Helvetica"/>
        </w:rPr>
        <w:t>Introducing the practice of independent state authorities to regularly monitor how the courts handle the filed requests</w:t>
      </w:r>
    </w:p>
    <w:p w:rsidR="00AE2771" w:rsidRPr="00D06F1D" w:rsidRDefault="00AE2771" w:rsidP="00D06F1D">
      <w:pPr>
        <w:pStyle w:val="ListParagraph"/>
        <w:numPr>
          <w:ilvl w:val="1"/>
          <w:numId w:val="4"/>
        </w:numPr>
        <w:rPr>
          <w:rFonts w:ascii="Cambria" w:hAnsi="Cambria" w:cs="Helvetica"/>
        </w:rPr>
      </w:pPr>
      <w:r w:rsidRPr="00D06F1D">
        <w:rPr>
          <w:rFonts w:ascii="Cambria" w:hAnsi="Cambria" w:cs="Helvetica"/>
        </w:rPr>
        <w:t>Publishing data on the initiated misdemeanor proceedings</w:t>
      </w:r>
    </w:p>
    <w:p w:rsidR="00AE2771" w:rsidRPr="00D06F1D" w:rsidRDefault="00AE2771" w:rsidP="00D06F1D">
      <w:pPr>
        <w:pStyle w:val="ListParagraph"/>
        <w:numPr>
          <w:ilvl w:val="1"/>
          <w:numId w:val="4"/>
        </w:numPr>
        <w:rPr>
          <w:rFonts w:ascii="Cambria" w:hAnsi="Cambria" w:cs="Helvetica"/>
        </w:rPr>
      </w:pPr>
      <w:r w:rsidRPr="00D06F1D">
        <w:rPr>
          <w:rFonts w:ascii="Cambria" w:hAnsi="Cambria" w:cs="Helvetica"/>
        </w:rPr>
        <w:t>Regular reporting to the public on the status of the initiated proceedings</w:t>
      </w:r>
    </w:p>
    <w:p w:rsidR="00AE2771" w:rsidRPr="00D06F1D" w:rsidRDefault="00AE2771" w:rsidP="00D06F1D">
      <w:pPr>
        <w:pStyle w:val="ListParagraph"/>
        <w:numPr>
          <w:ilvl w:val="1"/>
          <w:numId w:val="4"/>
        </w:numPr>
        <w:rPr>
          <w:rFonts w:ascii="Cambria" w:hAnsi="Cambria" w:cs="Helvetica"/>
        </w:rPr>
      </w:pPr>
      <w:r w:rsidRPr="00D06F1D">
        <w:rPr>
          <w:rFonts w:ascii="Cambria" w:hAnsi="Cambria" w:cs="Helvetica"/>
        </w:rPr>
        <w:t>Taking into consideration the need to amend legislation, for more efficient summoning of defendants, especially when the defendants are public officials</w:t>
      </w:r>
    </w:p>
    <w:p w:rsidR="00AE2771" w:rsidRPr="00D06F1D" w:rsidRDefault="00AE2771" w:rsidP="00D06F1D">
      <w:pPr>
        <w:pStyle w:val="ListParagraph"/>
        <w:numPr>
          <w:ilvl w:val="1"/>
          <w:numId w:val="4"/>
        </w:numPr>
        <w:rPr>
          <w:rFonts w:ascii="Cambria" w:hAnsi="Cambria" w:cs="Helvetica"/>
        </w:rPr>
      </w:pPr>
      <w:r w:rsidRPr="00D06F1D">
        <w:rPr>
          <w:rFonts w:ascii="Cambria" w:hAnsi="Cambria" w:cs="Helvetica"/>
        </w:rPr>
        <w:t>Strengthening the control mechanisms in magistrate’s courts in order to determine the reasons and responsibilities for the statute of limitations, or rather, in order to establish the need for increasing capacities or other measures for systematic elimination of this problem</w:t>
      </w:r>
    </w:p>
    <w:p w:rsidR="00AE2771" w:rsidRPr="00D06F1D" w:rsidRDefault="00AE2771" w:rsidP="00D06F1D">
      <w:pPr>
        <w:pStyle w:val="ListParagraph"/>
        <w:numPr>
          <w:ilvl w:val="1"/>
          <w:numId w:val="4"/>
        </w:numPr>
        <w:rPr>
          <w:rFonts w:ascii="Cambria" w:hAnsi="Cambria" w:cs="Helvetica"/>
        </w:rPr>
      </w:pPr>
      <w:r w:rsidRPr="00D06F1D">
        <w:rPr>
          <w:rFonts w:ascii="Cambria" w:hAnsi="Cambria" w:cs="Helvetica"/>
        </w:rPr>
        <w:t>Eliminating the shortcomings of the Law on Financing Political Activities regarding cases of misdemeanor liability</w:t>
      </w:r>
    </w:p>
    <w:p w:rsidR="00AE2771" w:rsidRPr="009D5E17" w:rsidRDefault="00AE2771" w:rsidP="00AE2771">
      <w:pPr>
        <w:spacing w:before="100" w:beforeAutospacing="1" w:after="100" w:afterAutospacing="1" w:line="240" w:lineRule="auto"/>
        <w:jc w:val="both"/>
        <w:rPr>
          <w:rFonts w:ascii="Cambria" w:eastAsia="Times New Roman" w:hAnsi="Cambria" w:cs="Times New Roman"/>
          <w:b/>
          <w:lang w:val="sr-Latn-RS"/>
        </w:rPr>
      </w:pPr>
      <w:r>
        <w:rPr>
          <w:rFonts w:ascii="Cambria" w:eastAsia="Times New Roman" w:hAnsi="Cambria" w:cs="Times New Roman"/>
          <w:b/>
          <w:lang w:val="sr-Latn-RS"/>
        </w:rPr>
        <w:t>Regardi</w:t>
      </w:r>
      <w:r w:rsidR="009C1822">
        <w:rPr>
          <w:rFonts w:ascii="Cambria" w:eastAsia="Times New Roman" w:hAnsi="Cambria" w:cs="Times New Roman"/>
          <w:b/>
          <w:lang w:val="sr-Latn-RS"/>
        </w:rPr>
        <w:t>n</w:t>
      </w:r>
      <w:r>
        <w:rPr>
          <w:rFonts w:ascii="Cambria" w:eastAsia="Times New Roman" w:hAnsi="Cambria" w:cs="Times New Roman"/>
          <w:b/>
          <w:lang w:val="sr-Latn-RS"/>
        </w:rPr>
        <w:t>g how the public prosecutor’s offices and public attorney’s office handle criminal charges and whether they work proactively</w:t>
      </w:r>
      <w:r w:rsidRPr="009D5E17">
        <w:rPr>
          <w:rFonts w:ascii="Cambria" w:eastAsia="Times New Roman" w:hAnsi="Cambria" w:cs="Times New Roman"/>
          <w:b/>
          <w:lang w:val="sr-Latn-RS"/>
        </w:rPr>
        <w:t>:</w:t>
      </w:r>
    </w:p>
    <w:p w:rsidR="00AE2771" w:rsidRPr="00D06F1D" w:rsidRDefault="00AE2771" w:rsidP="00D06F1D">
      <w:pPr>
        <w:pStyle w:val="ListParagraph"/>
        <w:numPr>
          <w:ilvl w:val="0"/>
          <w:numId w:val="3"/>
        </w:numPr>
        <w:spacing w:before="100" w:beforeAutospacing="1" w:after="100" w:afterAutospacing="1" w:line="240" w:lineRule="auto"/>
        <w:jc w:val="both"/>
        <w:rPr>
          <w:rFonts w:ascii="Cambria" w:eastAsia="Times New Roman" w:hAnsi="Cambria" w:cs="Times New Roman"/>
          <w:lang w:val="sr-Latn-RS"/>
        </w:rPr>
      </w:pPr>
      <w:r w:rsidRPr="00D06F1D">
        <w:rPr>
          <w:rFonts w:ascii="Cambria" w:eastAsia="Times New Roman" w:hAnsi="Cambria" w:cs="Times New Roman"/>
          <w:lang w:val="sr-Latn-RS"/>
        </w:rPr>
        <w:t xml:space="preserve">Specialization/training public prosecutors for questions </w:t>
      </w:r>
      <w:r w:rsidRPr="00D06F1D">
        <w:rPr>
          <w:rFonts w:ascii="Cambria" w:eastAsia="Times New Roman" w:hAnsi="Cambria" w:cs="Times New Roman"/>
        </w:rPr>
        <w:t>from</w:t>
      </w:r>
      <w:r w:rsidRPr="00D06F1D">
        <w:rPr>
          <w:rFonts w:ascii="Cambria" w:eastAsia="Times New Roman" w:hAnsi="Cambria" w:cs="Times New Roman"/>
          <w:lang w:val="sr-Latn-RS"/>
        </w:rPr>
        <w:t xml:space="preserve"> the competences of the independent authorities </w:t>
      </w:r>
    </w:p>
    <w:p w:rsidR="00AE2771" w:rsidRPr="00D06F1D" w:rsidRDefault="00C40EB6" w:rsidP="00D06F1D">
      <w:pPr>
        <w:pStyle w:val="ListParagraph"/>
        <w:numPr>
          <w:ilvl w:val="0"/>
          <w:numId w:val="3"/>
        </w:numPr>
        <w:spacing w:before="100" w:beforeAutospacing="1" w:after="100" w:afterAutospacing="1" w:line="240" w:lineRule="auto"/>
        <w:jc w:val="both"/>
        <w:rPr>
          <w:rFonts w:ascii="Cambria" w:eastAsia="Times New Roman" w:hAnsi="Cambria" w:cs="Times New Roman"/>
          <w:lang w:val="sr-Latn-RS"/>
        </w:rPr>
      </w:pPr>
      <w:r w:rsidRPr="00D06F1D">
        <w:rPr>
          <w:rFonts w:ascii="Cambria" w:eastAsia="Times New Roman" w:hAnsi="Cambria" w:cs="Times New Roman"/>
          <w:lang w:val="sr-Latn-RS"/>
        </w:rPr>
        <w:t>Specifying</w:t>
      </w:r>
      <w:r w:rsidR="00AE2771" w:rsidRPr="00D06F1D">
        <w:rPr>
          <w:rFonts w:ascii="Cambria" w:eastAsia="Times New Roman" w:hAnsi="Cambria" w:cs="Times New Roman"/>
          <w:lang w:val="sr-Latn-RS"/>
        </w:rPr>
        <w:t xml:space="preserve"> the obligation of public prosecutor’s offices for proactive work, based on the recieved or published reports of independent state authorities </w:t>
      </w:r>
    </w:p>
    <w:p w:rsidR="00AE2771" w:rsidRPr="00D06F1D" w:rsidRDefault="00AE2771" w:rsidP="00D06F1D">
      <w:pPr>
        <w:pStyle w:val="ListParagraph"/>
        <w:numPr>
          <w:ilvl w:val="0"/>
          <w:numId w:val="3"/>
        </w:numPr>
        <w:spacing w:before="100" w:beforeAutospacing="1" w:after="100" w:afterAutospacing="1" w:line="240" w:lineRule="auto"/>
        <w:jc w:val="both"/>
        <w:rPr>
          <w:rFonts w:ascii="Cambria" w:eastAsia="Times New Roman" w:hAnsi="Cambria" w:cs="Times New Roman"/>
          <w:lang w:val="sr-Latn-RS"/>
        </w:rPr>
      </w:pPr>
      <w:r w:rsidRPr="00D06F1D">
        <w:rPr>
          <w:rFonts w:ascii="Cambria" w:eastAsia="Times New Roman" w:hAnsi="Cambria" w:cs="Times New Roman"/>
          <w:lang w:val="sr-Latn-RS"/>
        </w:rPr>
        <w:t>Coordinating the work of independent state authorities (primarily SAI and the Agency) on one hand, and the public prosecutor, on the other hand, concerning the establishment of facts that indicate possible criminal liability</w:t>
      </w:r>
    </w:p>
    <w:p w:rsidR="00AE2771" w:rsidRPr="00D06F1D" w:rsidRDefault="00AE2771" w:rsidP="00D06F1D">
      <w:pPr>
        <w:pStyle w:val="ListParagraph"/>
        <w:numPr>
          <w:ilvl w:val="0"/>
          <w:numId w:val="3"/>
        </w:numPr>
        <w:spacing w:before="100" w:beforeAutospacing="1" w:after="100" w:afterAutospacing="1" w:line="240" w:lineRule="auto"/>
        <w:jc w:val="both"/>
        <w:rPr>
          <w:rFonts w:ascii="Cambria" w:eastAsia="Times New Roman" w:hAnsi="Cambria" w:cs="Times New Roman"/>
          <w:lang w:val="sr-Latn-RS"/>
        </w:rPr>
      </w:pPr>
      <w:r w:rsidRPr="00D06F1D">
        <w:rPr>
          <w:rFonts w:ascii="Cambria" w:eastAsia="Times New Roman" w:hAnsi="Cambria" w:cs="Times New Roman"/>
          <w:lang w:val="sr-Latn-RS"/>
        </w:rPr>
        <w:t xml:space="preserve">Regular monitoring of how the authorities handle the prosecution for criminal </w:t>
      </w:r>
      <w:r w:rsidRPr="00D06F1D">
        <w:rPr>
          <w:rFonts w:ascii="Cambria" w:eastAsia="Times New Roman" w:hAnsi="Cambria" w:cs="Times New Roman"/>
        </w:rPr>
        <w:t>charge</w:t>
      </w:r>
      <w:r w:rsidRPr="00D06F1D">
        <w:rPr>
          <w:rFonts w:ascii="Cambria" w:eastAsia="Times New Roman" w:hAnsi="Cambria" w:cs="Times New Roman"/>
          <w:lang w:val="sr-Latn-RS"/>
        </w:rPr>
        <w:t>s filed by independent state authorities and informing the public on this matter (if the information on the filed criminal charge is published)</w:t>
      </w:r>
    </w:p>
    <w:p w:rsidR="00AE2771" w:rsidRPr="00D06F1D" w:rsidRDefault="00AE2771" w:rsidP="00D06F1D">
      <w:pPr>
        <w:pStyle w:val="ListParagraph"/>
        <w:numPr>
          <w:ilvl w:val="0"/>
          <w:numId w:val="3"/>
        </w:numPr>
        <w:spacing w:before="100" w:beforeAutospacing="1" w:after="100" w:afterAutospacing="1" w:line="240" w:lineRule="auto"/>
        <w:jc w:val="both"/>
        <w:rPr>
          <w:rFonts w:ascii="Cambria" w:eastAsia="Times New Roman" w:hAnsi="Cambria" w:cs="Times New Roman"/>
          <w:lang w:val="sr-Latn-RS"/>
        </w:rPr>
      </w:pPr>
      <w:r w:rsidRPr="00D06F1D">
        <w:rPr>
          <w:rFonts w:ascii="Cambria" w:eastAsia="Times New Roman" w:hAnsi="Cambria" w:cs="Times New Roman"/>
          <w:lang w:val="sr-Latn-RS"/>
        </w:rPr>
        <w:t>Precising the obligation of the public attorney to act upon recieving a report from the State Audit Institution</w:t>
      </w:r>
    </w:p>
    <w:p w:rsidR="00AE2771" w:rsidRPr="002B240D" w:rsidRDefault="00AE2771" w:rsidP="00AE2771">
      <w:pPr>
        <w:spacing w:before="100" w:beforeAutospacing="1" w:after="100" w:afterAutospacing="1" w:line="240" w:lineRule="auto"/>
        <w:jc w:val="both"/>
        <w:rPr>
          <w:rFonts w:ascii="Cambria" w:eastAsia="Times New Roman" w:hAnsi="Cambria" w:cs="Times New Roman"/>
        </w:rPr>
      </w:pPr>
    </w:p>
    <w:p w:rsidR="00AE2771" w:rsidRPr="002B240D" w:rsidRDefault="00AE2771" w:rsidP="00AE2771">
      <w:pPr>
        <w:spacing w:before="100" w:beforeAutospacing="1" w:after="100" w:afterAutospacing="1" w:line="240" w:lineRule="auto"/>
        <w:jc w:val="both"/>
        <w:rPr>
          <w:rFonts w:ascii="Cambria" w:eastAsia="Times New Roman" w:hAnsi="Cambria" w:cs="Times New Roman"/>
        </w:rPr>
      </w:pPr>
      <w:r w:rsidRPr="002B240D">
        <w:rPr>
          <w:rFonts w:ascii="Cambria" w:eastAsia="Times New Roman" w:hAnsi="Cambria" w:cs="Times New Roman"/>
        </w:rPr>
        <w:t xml:space="preserve">Transparency Serbia </w:t>
      </w:r>
    </w:p>
    <w:p w:rsidR="00AE2771" w:rsidRPr="002B240D" w:rsidRDefault="00AE2771" w:rsidP="00AE2771">
      <w:pPr>
        <w:spacing w:before="100" w:beforeAutospacing="1" w:after="100" w:afterAutospacing="1" w:line="240" w:lineRule="auto"/>
        <w:jc w:val="both"/>
        <w:rPr>
          <w:rFonts w:ascii="Cambria" w:eastAsia="Times New Roman" w:hAnsi="Cambria" w:cs="Times New Roman"/>
        </w:rPr>
      </w:pPr>
      <w:r w:rsidRPr="002B240D">
        <w:rPr>
          <w:rFonts w:ascii="Cambria" w:eastAsia="Times New Roman" w:hAnsi="Cambria" w:cs="Times New Roman"/>
        </w:rPr>
        <w:t xml:space="preserve">February 2014 </w:t>
      </w:r>
    </w:p>
    <w:p w:rsidR="00AE2771" w:rsidRPr="002B240D" w:rsidRDefault="00AE2771" w:rsidP="00AE2771">
      <w:pPr>
        <w:spacing w:before="100" w:beforeAutospacing="1" w:after="100" w:afterAutospacing="1" w:line="240" w:lineRule="auto"/>
        <w:jc w:val="both"/>
        <w:rPr>
          <w:rFonts w:ascii="Cambria" w:eastAsia="Times New Roman" w:hAnsi="Cambria" w:cs="Times New Roman"/>
        </w:rPr>
      </w:pPr>
    </w:p>
    <w:p w:rsidR="00AE2771" w:rsidRPr="002B240D" w:rsidRDefault="00AE2771" w:rsidP="00AE2771">
      <w:pPr>
        <w:tabs>
          <w:tab w:val="left" w:pos="2805"/>
        </w:tabs>
        <w:spacing w:after="120"/>
        <w:rPr>
          <w:rFonts w:ascii="Times New Roman" w:hAnsi="Times New Roman" w:cs="Times New Roman"/>
        </w:rPr>
      </w:pPr>
    </w:p>
    <w:p w:rsidR="00AE2771" w:rsidRPr="002B240D" w:rsidRDefault="00AE2771" w:rsidP="00AE2771">
      <w:pPr>
        <w:tabs>
          <w:tab w:val="left" w:pos="2805"/>
        </w:tabs>
        <w:spacing w:after="120"/>
        <w:rPr>
          <w:rFonts w:ascii="Times New Roman" w:hAnsi="Times New Roman" w:cs="Times New Roman"/>
        </w:rPr>
      </w:pPr>
    </w:p>
    <w:p w:rsidR="005D362D" w:rsidRDefault="00D0325F"/>
    <w:sectPr w:rsidR="005D362D" w:rsidSect="004D71E0">
      <w:headerReference w:type="first" r:id="rId8"/>
      <w:footerReference w:type="first" r:id="rId9"/>
      <w:pgSz w:w="12240" w:h="15840"/>
      <w:pgMar w:top="600" w:right="900" w:bottom="144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5F" w:rsidRDefault="00D0325F" w:rsidP="00AE2771">
      <w:pPr>
        <w:spacing w:after="0" w:line="240" w:lineRule="auto"/>
      </w:pPr>
      <w:r>
        <w:separator/>
      </w:r>
    </w:p>
  </w:endnote>
  <w:endnote w:type="continuationSeparator" w:id="0">
    <w:p w:rsidR="00D0325F" w:rsidRDefault="00D0325F" w:rsidP="00AE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F1D" w:rsidRPr="00D06F1D" w:rsidRDefault="00D06F1D" w:rsidP="00D06F1D">
    <w:pPr>
      <w:rPr>
        <w:rFonts w:ascii="Times New Roman" w:hAnsi="Times New Roman" w:cs="Times New Roman"/>
        <w:bCs/>
        <w:i/>
      </w:rPr>
    </w:pPr>
    <w:r w:rsidRPr="00D06F1D">
      <w:rPr>
        <w:rFonts w:ascii="Times New Roman" w:hAnsi="Times New Roman" w:cs="Times New Roman"/>
        <w:bCs/>
        <w:i/>
      </w:rPr>
      <w:t xml:space="preserve">This </w:t>
    </w:r>
    <w:r>
      <w:rPr>
        <w:rFonts w:ascii="Times New Roman" w:hAnsi="Times New Roman" w:cs="Times New Roman"/>
        <w:bCs/>
        <w:i/>
      </w:rPr>
      <w:t xml:space="preserve">analysis </w:t>
    </w:r>
    <w:r w:rsidRPr="00D06F1D">
      <w:rPr>
        <w:rFonts w:ascii="Times New Roman" w:hAnsi="Times New Roman" w:cs="Times New Roman"/>
        <w:bCs/>
        <w:i/>
      </w:rPr>
      <w:t xml:space="preserve">is made possible by the support of the American people through the United States Agency for International Development (USAID). The contents of this </w:t>
    </w:r>
    <w:r>
      <w:rPr>
        <w:rFonts w:ascii="Times New Roman" w:hAnsi="Times New Roman" w:cs="Times New Roman"/>
        <w:bCs/>
        <w:i/>
      </w:rPr>
      <w:t>analysis</w:t>
    </w:r>
    <w:r w:rsidRPr="00D06F1D">
      <w:rPr>
        <w:rFonts w:ascii="Times New Roman" w:hAnsi="Times New Roman" w:cs="Times New Roman"/>
        <w:bCs/>
        <w:i/>
      </w:rPr>
      <w:t xml:space="preserve"> are t</w:t>
    </w:r>
    <w:r>
      <w:rPr>
        <w:rFonts w:ascii="Times New Roman" w:hAnsi="Times New Roman" w:cs="Times New Roman"/>
        <w:bCs/>
        <w:i/>
      </w:rPr>
      <w:t>he responsibility of the author</w:t>
    </w:r>
    <w:r w:rsidRPr="00D06F1D">
      <w:rPr>
        <w:rFonts w:ascii="Times New Roman" w:hAnsi="Times New Roman" w:cs="Times New Roman"/>
        <w:bCs/>
        <w:i/>
      </w:rPr>
      <w:t>s and does not necessarily reflect the views of USAID or the United States Government.</w:t>
    </w:r>
  </w:p>
  <w:p w:rsidR="00832E93" w:rsidRPr="00D06F1D" w:rsidRDefault="00D0325F" w:rsidP="00D06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5F" w:rsidRDefault="00D0325F" w:rsidP="00AE2771">
      <w:pPr>
        <w:spacing w:after="0" w:line="240" w:lineRule="auto"/>
      </w:pPr>
      <w:r>
        <w:separator/>
      </w:r>
    </w:p>
  </w:footnote>
  <w:footnote w:type="continuationSeparator" w:id="0">
    <w:p w:rsidR="00D0325F" w:rsidRDefault="00D0325F" w:rsidP="00AE2771">
      <w:pPr>
        <w:spacing w:after="0" w:line="240" w:lineRule="auto"/>
      </w:pPr>
      <w:r>
        <w:continuationSeparator/>
      </w:r>
    </w:p>
  </w:footnote>
  <w:footnote w:id="1">
    <w:p w:rsidR="00AE2771" w:rsidRPr="0034234D" w:rsidRDefault="00AE2771" w:rsidP="00AE2771">
      <w:pPr>
        <w:rPr>
          <w:rFonts w:ascii="Cambria" w:eastAsia="Times New Roman" w:hAnsi="Cambria" w:cs="Times New Roman"/>
          <w:b/>
          <w:lang w:val="sr-Latn-RS" w:eastAsia="sr-Latn-CS"/>
        </w:rPr>
      </w:pPr>
      <w:r>
        <w:rPr>
          <w:rStyle w:val="FootnoteReference"/>
        </w:rPr>
        <w:footnoteRef/>
      </w:r>
      <w:r>
        <w:t xml:space="preserve"> </w:t>
      </w:r>
      <w:r>
        <w:rPr>
          <w:rFonts w:ascii="Cambria" w:hAnsi="Cambria"/>
        </w:rPr>
        <w:t>The p</w:t>
      </w:r>
      <w:r w:rsidRPr="0034234D">
        <w:rPr>
          <w:rFonts w:ascii="Cambria" w:hAnsi="Cambria"/>
        </w:rPr>
        <w:t>roje</w:t>
      </w:r>
      <w:r>
        <w:rPr>
          <w:rFonts w:ascii="Cambria" w:hAnsi="Cambria"/>
        </w:rPr>
        <w:t>c</w:t>
      </w:r>
      <w:r w:rsidRPr="0034234D">
        <w:rPr>
          <w:rFonts w:ascii="Cambria" w:hAnsi="Cambria"/>
        </w:rPr>
        <w:t xml:space="preserve">t </w:t>
      </w:r>
      <w:r>
        <w:t>“</w:t>
      </w:r>
      <w:r w:rsidRPr="0034234D">
        <w:rPr>
          <w:rFonts w:ascii="Cambria" w:eastAsia="Times New Roman" w:hAnsi="Cambria" w:cs="Times New Roman"/>
          <w:lang w:val="sr-Latn-RS" w:eastAsia="sr-Latn-CS"/>
        </w:rPr>
        <w:t xml:space="preserve">Monitoring </w:t>
      </w:r>
      <w:r>
        <w:rPr>
          <w:rFonts w:ascii="Cambria" w:eastAsia="Times New Roman" w:hAnsi="Cambria" w:cs="Times New Roman"/>
          <w:lang w:val="sr-Latn-RS" w:eastAsia="sr-Latn-CS"/>
        </w:rPr>
        <w:t>the Sanctioning of the Violation of Anti-corruption Legislation in</w:t>
      </w:r>
      <w:r w:rsidRPr="0034234D">
        <w:rPr>
          <w:rFonts w:ascii="Cambria" w:eastAsia="Times New Roman" w:hAnsi="Cambria" w:cs="Times New Roman"/>
          <w:lang w:val="sr-Latn-RS" w:eastAsia="sr-Latn-CS"/>
        </w:rPr>
        <w:t xml:space="preserve"> S</w:t>
      </w:r>
      <w:r>
        <w:rPr>
          <w:rFonts w:ascii="Cambria" w:eastAsia="Times New Roman" w:hAnsi="Cambria" w:cs="Times New Roman"/>
          <w:lang w:val="sr-Latn-RS" w:eastAsia="sr-Latn-CS"/>
        </w:rPr>
        <w:t>e</w:t>
      </w:r>
      <w:r w:rsidRPr="0034234D">
        <w:rPr>
          <w:rFonts w:ascii="Cambria" w:eastAsia="Times New Roman" w:hAnsi="Cambria" w:cs="Times New Roman"/>
          <w:lang w:val="sr-Latn-RS" w:eastAsia="sr-Latn-CS"/>
        </w:rPr>
        <w:t>rbi</w:t>
      </w:r>
      <w:r>
        <w:rPr>
          <w:rFonts w:ascii="Cambria" w:eastAsia="Times New Roman" w:hAnsi="Cambria" w:cs="Times New Roman"/>
          <w:lang w:val="sr-Latn-RS" w:eastAsia="sr-Latn-CS"/>
        </w:rPr>
        <w:t>a</w:t>
      </w:r>
      <w:r w:rsidRPr="0034234D">
        <w:rPr>
          <w:rFonts w:ascii="Cambria" w:eastAsia="Times New Roman" w:hAnsi="Cambria" w:cs="Times New Roman"/>
          <w:lang w:val="sr-Latn-RS" w:eastAsia="sr-Latn-CS"/>
        </w:rPr>
        <w:t>“</w:t>
      </w:r>
      <w:r>
        <w:rPr>
          <w:rFonts w:ascii="Cambria" w:eastAsia="Times New Roman" w:hAnsi="Cambria" w:cs="Times New Roman"/>
          <w:lang w:val="sr-Latn-RS" w:eastAsia="sr-Latn-CS"/>
        </w:rPr>
        <w:t xml:space="preserve">is supported by the </w:t>
      </w:r>
      <w:r w:rsidRPr="0034234D">
        <w:rPr>
          <w:rFonts w:ascii="Cambria" w:eastAsia="Times New Roman" w:hAnsi="Cambria" w:cs="Times New Roman"/>
          <w:lang w:val="sr-Latn-RS" w:eastAsia="sr-Latn-CS"/>
        </w:rPr>
        <w:t>Americ</w:t>
      </w:r>
      <w:r>
        <w:rPr>
          <w:rFonts w:ascii="Cambria" w:eastAsia="Times New Roman" w:hAnsi="Cambria" w:cs="Times New Roman"/>
          <w:lang w:val="sr-Latn-RS" w:eastAsia="sr-Latn-CS"/>
        </w:rPr>
        <w:t>an A</w:t>
      </w:r>
      <w:r w:rsidRPr="0034234D">
        <w:rPr>
          <w:rFonts w:ascii="Cambria" w:eastAsia="Times New Roman" w:hAnsi="Cambria" w:cs="Times New Roman"/>
          <w:lang w:val="sr-Latn-RS" w:eastAsia="sr-Latn-CS"/>
        </w:rPr>
        <w:t>genc</w:t>
      </w:r>
      <w:r>
        <w:rPr>
          <w:rFonts w:ascii="Cambria" w:eastAsia="Times New Roman" w:hAnsi="Cambria" w:cs="Times New Roman"/>
          <w:lang w:val="sr-Latn-RS" w:eastAsia="sr-Latn-CS"/>
        </w:rPr>
        <w:t>y for International Development</w:t>
      </w:r>
      <w:r w:rsidRPr="0034234D">
        <w:rPr>
          <w:rFonts w:ascii="Cambria" w:eastAsia="Times New Roman" w:hAnsi="Cambria" w:cs="Times New Roman"/>
          <w:lang w:val="sr-Latn-RS" w:eastAsia="sr-Latn-CS"/>
        </w:rPr>
        <w:t xml:space="preserve"> (USAID). </w:t>
      </w:r>
    </w:p>
    <w:p w:rsidR="00AE2771" w:rsidRPr="00415051" w:rsidRDefault="00AE2771" w:rsidP="00AE2771">
      <w:pPr>
        <w:pStyle w:val="FootnoteText"/>
      </w:pPr>
    </w:p>
  </w:footnote>
  <w:footnote w:id="2">
    <w:p w:rsidR="00AE2771" w:rsidRPr="00F4743B" w:rsidRDefault="00AE2771" w:rsidP="00AE2771">
      <w:pPr>
        <w:pStyle w:val="FootnoteText"/>
        <w:spacing w:after="0"/>
      </w:pPr>
      <w:r>
        <w:rPr>
          <w:rStyle w:val="FootnoteReference"/>
        </w:rPr>
        <w:footnoteRef/>
      </w:r>
      <w:r>
        <w:t xml:space="preserve"> </w:t>
      </w:r>
      <w:hyperlink r:id="rId1" w:tgtFrame="_blank" w:history="1">
        <w:r w:rsidRPr="00F4743B">
          <w:rPr>
            <w:rStyle w:val="Hyperlink"/>
            <w:lang w:val="sr-Latn-RS"/>
          </w:rPr>
          <w:t>http://www.seio.gov.rs/upload/documents/eu_dokumenta/godisnji_izvestaji_ek_o_napretku/izve%C5%A1taj_napretku_2012.pdf</w:t>
        </w:r>
      </w:hyperlink>
    </w:p>
    <w:p w:rsidR="00AE2771" w:rsidRPr="00F4743B" w:rsidRDefault="00AE2771" w:rsidP="00AE2771">
      <w:pPr>
        <w:pStyle w:val="FootnoteText"/>
        <w:rPr>
          <w:lang w:val="sr-Latn-R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4EB" w:rsidRDefault="00D0325F" w:rsidP="002C3F01">
    <w:pPr>
      <w:pStyle w:val="Header"/>
    </w:pPr>
  </w:p>
  <w:p w:rsidR="00FD74EB" w:rsidRPr="005A4E08" w:rsidRDefault="00F21978" w:rsidP="002C3F01">
    <w:pPr>
      <w:tabs>
        <w:tab w:val="left" w:pos="1418"/>
        <w:tab w:val="center" w:pos="5670"/>
        <w:tab w:val="center" w:pos="6663"/>
      </w:tabs>
      <w:spacing w:after="0" w:line="240" w:lineRule="auto"/>
      <w:jc w:val="center"/>
      <w:rPr>
        <w:rFonts w:ascii="Times New Roman" w:hAnsi="Times New Roman" w:cs="Times New Roman"/>
        <w:spacing w:val="6"/>
        <w:sz w:val="20"/>
        <w:szCs w:val="20"/>
      </w:rPr>
    </w:pPr>
    <w:r>
      <w:rPr>
        <w:rFonts w:ascii="Times New Roman" w:hAnsi="Times New Roman" w:cs="Times New Roman"/>
        <w:spacing w:val="6"/>
        <w:sz w:val="20"/>
        <w:szCs w:val="20"/>
      </w:rPr>
      <w:t xml:space="preserve"> </w:t>
    </w:r>
  </w:p>
  <w:p w:rsidR="003B679A" w:rsidRDefault="00F21978" w:rsidP="00A57097">
    <w:pPr>
      <w:tabs>
        <w:tab w:val="left" w:pos="990"/>
        <w:tab w:val="left" w:pos="1440"/>
        <w:tab w:val="center" w:pos="5670"/>
        <w:tab w:val="center" w:pos="6663"/>
      </w:tabs>
      <w:spacing w:after="0" w:line="240" w:lineRule="auto"/>
      <w:rPr>
        <w:rFonts w:ascii="Times New Roman" w:hAnsi="Times New Roman" w:cs="Times New Roman"/>
        <w:spacing w:val="6"/>
        <w:sz w:val="20"/>
        <w:szCs w:val="20"/>
        <w:lang w:val="sr-Cyrl-CS"/>
      </w:rPr>
    </w:pPr>
    <w:r>
      <w:rPr>
        <w:rFonts w:ascii="Times New Roman" w:eastAsia="Times New Roman" w:hAnsi="Times New Roman" w:cs="Times New Roman"/>
        <w:b/>
        <w:spacing w:val="6"/>
        <w:lang w:val="sr-Cyrl-CS"/>
      </w:rPr>
      <w:t xml:space="preserve">                               </w:t>
    </w:r>
    <w:r>
      <w:rPr>
        <w:rFonts w:ascii="Times New Roman" w:hAnsi="Times New Roman" w:cs="Times New Roman"/>
        <w:spacing w:val="6"/>
        <w:sz w:val="20"/>
        <w:szCs w:val="20"/>
      </w:rPr>
      <w:t xml:space="preserve">           </w:t>
    </w:r>
    <w:r>
      <w:rPr>
        <w:rFonts w:ascii="Times New Roman" w:hAnsi="Times New Roman" w:cs="Times New Roman"/>
        <w:spacing w:val="6"/>
        <w:sz w:val="20"/>
        <w:szCs w:val="20"/>
        <w:lang w:val="sr-Cyrl-CS"/>
      </w:rPr>
      <w:t xml:space="preserve">     </w:t>
    </w:r>
    <w:r>
      <w:rPr>
        <w:rFonts w:ascii="Times New Roman" w:hAnsi="Times New Roman" w:cs="Times New Roman"/>
        <w:spacing w:val="6"/>
        <w:sz w:val="20"/>
        <w:szCs w:val="20"/>
        <w:lang w:val="sr-Cyrl-CS"/>
      </w:rPr>
      <w:tab/>
      <w:t xml:space="preserve">                                                                                                                                                      </w:t>
    </w:r>
    <w:r w:rsidR="00AE2771">
      <w:rPr>
        <w:rFonts w:ascii="Times New Roman" w:hAnsi="Times New Roman" w:cs="Times New Roman"/>
        <w:noProof/>
        <w:spacing w:val="6"/>
        <w:sz w:val="20"/>
        <w:szCs w:val="20"/>
      </w:rPr>
      <w:drawing>
        <wp:inline distT="0" distB="0" distL="0" distR="0">
          <wp:extent cx="200406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514350"/>
                  </a:xfrm>
                  <a:prstGeom prst="rect">
                    <a:avLst/>
                  </a:prstGeom>
                  <a:noFill/>
                </pic:spPr>
              </pic:pic>
            </a:graphicData>
          </a:graphic>
        </wp:inline>
      </w:drawing>
    </w:r>
    <w:r>
      <w:rPr>
        <w:rFonts w:ascii="Times New Roman" w:hAnsi="Times New Roman" w:cs="Times New Roman"/>
        <w:spacing w:val="6"/>
        <w:sz w:val="20"/>
        <w:szCs w:val="20"/>
        <w:lang w:val="sr-Cyrl-CS"/>
      </w:rPr>
      <w:t xml:space="preserve">                    </w:t>
    </w:r>
    <w:r>
      <w:rPr>
        <w:rFonts w:ascii="Times New Roman" w:hAnsi="Times New Roman" w:cs="Times New Roman"/>
        <w:spacing w:val="6"/>
        <w:sz w:val="20"/>
        <w:szCs w:val="20"/>
      </w:rPr>
      <w:t xml:space="preserve">   </w:t>
    </w:r>
    <w:r>
      <w:rPr>
        <w:rFonts w:ascii="Times New Roman" w:hAnsi="Times New Roman" w:cs="Times New Roman"/>
        <w:spacing w:val="6"/>
        <w:sz w:val="20"/>
        <w:szCs w:val="20"/>
        <w:lang w:val="sr-Cyrl-RS"/>
      </w:rPr>
      <w:t xml:space="preserve">         </w:t>
    </w:r>
    <w:r>
      <w:rPr>
        <w:rFonts w:ascii="Times New Roman" w:hAnsi="Times New Roman" w:cs="Times New Roman"/>
        <w:spacing w:val="6"/>
        <w:sz w:val="20"/>
        <w:szCs w:val="20"/>
      </w:rPr>
      <w:t xml:space="preserve"> </w:t>
    </w:r>
    <w:r w:rsidR="00AE2771">
      <w:rPr>
        <w:rFonts w:ascii="Times New Roman" w:hAnsi="Times New Roman" w:cs="Times New Roman"/>
        <w:noProof/>
        <w:spacing w:val="6"/>
        <w:sz w:val="20"/>
        <w:szCs w:val="20"/>
      </w:rPr>
      <w:drawing>
        <wp:inline distT="0" distB="0" distL="0" distR="0">
          <wp:extent cx="2915920" cy="647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647065"/>
                  </a:xfrm>
                  <a:prstGeom prst="rect">
                    <a:avLst/>
                  </a:prstGeom>
                  <a:noFill/>
                </pic:spPr>
              </pic:pic>
            </a:graphicData>
          </a:graphic>
        </wp:inline>
      </w:drawing>
    </w:r>
    <w:r>
      <w:rPr>
        <w:rFonts w:ascii="Times New Roman" w:hAnsi="Times New Roman" w:cs="Times New Roman"/>
        <w:spacing w:val="6"/>
        <w:sz w:val="20"/>
        <w:szCs w:val="20"/>
      </w:rPr>
      <w:t xml:space="preserve">                                 </w:t>
    </w:r>
    <w:r>
      <w:rPr>
        <w:rFonts w:ascii="Times New Roman" w:hAnsi="Times New Roman" w:cs="Times New Roman"/>
        <w:spacing w:val="6"/>
        <w:sz w:val="20"/>
        <w:szCs w:val="20"/>
        <w:lang w:val="sr-Cyrl-RS"/>
      </w:rPr>
      <w:t xml:space="preserve">                        </w:t>
    </w:r>
    <w:r>
      <w:rPr>
        <w:rFonts w:ascii="Times New Roman" w:hAnsi="Times New Roman" w:cs="Times New Roman"/>
        <w:spacing w:val="6"/>
        <w:sz w:val="20"/>
        <w:szCs w:val="20"/>
        <w:lang w:val="sr-Cyrl-CS"/>
      </w:rPr>
      <w:t xml:space="preserve">             </w:t>
    </w:r>
    <w:r>
      <w:rPr>
        <w:rFonts w:ascii="Times New Roman" w:hAnsi="Times New Roman" w:cs="Times New Roman"/>
        <w:spacing w:val="6"/>
        <w:sz w:val="20"/>
        <w:szCs w:val="20"/>
        <w:lang w:val="sr-Cyrl-RS"/>
      </w:rPr>
      <w:t xml:space="preserve">     </w:t>
    </w:r>
    <w:r>
      <w:rPr>
        <w:rFonts w:ascii="Times New Roman" w:hAnsi="Times New Roman" w:cs="Times New Roman"/>
        <w:spacing w:val="6"/>
        <w:sz w:val="20"/>
        <w:szCs w:val="20"/>
        <w:lang w:val="sr-Cyrl-CS"/>
      </w:rPr>
      <w:t xml:space="preserve">                                                                                           </w:t>
    </w:r>
  </w:p>
  <w:p w:rsidR="003B679A" w:rsidRPr="00EA54F6" w:rsidRDefault="00F21978" w:rsidP="00EA54F6">
    <w:pPr>
      <w:tabs>
        <w:tab w:val="left" w:pos="990"/>
        <w:tab w:val="left" w:pos="1440"/>
        <w:tab w:val="left" w:pos="3435"/>
        <w:tab w:val="left" w:pos="3570"/>
        <w:tab w:val="left" w:pos="5205"/>
      </w:tabs>
      <w:spacing w:after="0" w:line="240" w:lineRule="auto"/>
      <w:rPr>
        <w:rFonts w:ascii="Tahoma" w:eastAsia="Arial Unicode MS" w:hAnsi="Tahoma" w:cs="Tahoma"/>
        <w:b/>
        <w:iCs/>
        <w:caps/>
        <w:sz w:val="18"/>
        <w:szCs w:val="18"/>
      </w:rPr>
    </w:pPr>
    <w:r>
      <w:rPr>
        <w:rFonts w:ascii="Times New Roman" w:hAnsi="Times New Roman" w:cs="Times New Roman"/>
        <w:spacing w:val="6"/>
        <w:sz w:val="20"/>
        <w:szCs w:val="20"/>
        <w:lang w:val="sr-Cyrl-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06EE"/>
    <w:multiLevelType w:val="hybridMultilevel"/>
    <w:tmpl w:val="24541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61B51"/>
    <w:multiLevelType w:val="hybridMultilevel"/>
    <w:tmpl w:val="557AA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A05F82"/>
    <w:multiLevelType w:val="hybridMultilevel"/>
    <w:tmpl w:val="8020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AF76C1"/>
    <w:multiLevelType w:val="hybridMultilevel"/>
    <w:tmpl w:val="70C235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71"/>
    <w:rsid w:val="00020686"/>
    <w:rsid w:val="000249AE"/>
    <w:rsid w:val="00221F37"/>
    <w:rsid w:val="002616FE"/>
    <w:rsid w:val="004366B2"/>
    <w:rsid w:val="00684FF6"/>
    <w:rsid w:val="006E01B8"/>
    <w:rsid w:val="0071495C"/>
    <w:rsid w:val="007368F6"/>
    <w:rsid w:val="0077205F"/>
    <w:rsid w:val="008B5A83"/>
    <w:rsid w:val="009C0B5D"/>
    <w:rsid w:val="009C1822"/>
    <w:rsid w:val="00AA343A"/>
    <w:rsid w:val="00AE2771"/>
    <w:rsid w:val="00C40EB6"/>
    <w:rsid w:val="00D0325F"/>
    <w:rsid w:val="00D06F1D"/>
    <w:rsid w:val="00E55627"/>
    <w:rsid w:val="00F21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71"/>
    <w:pPr>
      <w:spacing w:after="200" w:line="276"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2771"/>
    <w:pPr>
      <w:tabs>
        <w:tab w:val="center" w:pos="4680"/>
        <w:tab w:val="right" w:pos="9360"/>
      </w:tabs>
      <w:spacing w:after="0" w:line="240" w:lineRule="auto"/>
    </w:pPr>
  </w:style>
  <w:style w:type="character" w:customStyle="1" w:styleId="HeaderChar">
    <w:name w:val="Header Char"/>
    <w:basedOn w:val="DefaultParagraphFont"/>
    <w:link w:val="Header"/>
    <w:rsid w:val="00AE2771"/>
    <w:rPr>
      <w:rFonts w:ascii="Calibri" w:eastAsia="Calibri" w:hAnsi="Calibri" w:cs="Calibri"/>
      <w:lang w:val="en-US"/>
    </w:rPr>
  </w:style>
  <w:style w:type="paragraph" w:styleId="FootnoteText">
    <w:name w:val="footnote text"/>
    <w:basedOn w:val="Normal"/>
    <w:link w:val="FootnoteTextChar"/>
    <w:uiPriority w:val="99"/>
    <w:semiHidden/>
    <w:unhideWhenUsed/>
    <w:rsid w:val="00AE2771"/>
    <w:rPr>
      <w:sz w:val="20"/>
      <w:szCs w:val="20"/>
    </w:rPr>
  </w:style>
  <w:style w:type="character" w:customStyle="1" w:styleId="FootnoteTextChar">
    <w:name w:val="Footnote Text Char"/>
    <w:basedOn w:val="DefaultParagraphFont"/>
    <w:link w:val="FootnoteText"/>
    <w:uiPriority w:val="99"/>
    <w:semiHidden/>
    <w:rsid w:val="00AE2771"/>
    <w:rPr>
      <w:rFonts w:ascii="Calibri" w:eastAsia="Calibri" w:hAnsi="Calibri" w:cs="Calibri"/>
      <w:sz w:val="20"/>
      <w:szCs w:val="20"/>
      <w:lang w:val="en-US"/>
    </w:rPr>
  </w:style>
  <w:style w:type="character" w:styleId="FootnoteReference">
    <w:name w:val="footnote reference"/>
    <w:semiHidden/>
    <w:unhideWhenUsed/>
    <w:rsid w:val="00AE2771"/>
    <w:rPr>
      <w:vertAlign w:val="superscript"/>
    </w:rPr>
  </w:style>
  <w:style w:type="character" w:styleId="Hyperlink">
    <w:name w:val="Hyperlink"/>
    <w:uiPriority w:val="99"/>
    <w:unhideWhenUsed/>
    <w:rsid w:val="00AE2771"/>
    <w:rPr>
      <w:color w:val="0000FF"/>
      <w:u w:val="single"/>
    </w:rPr>
  </w:style>
  <w:style w:type="paragraph" w:styleId="BalloonText">
    <w:name w:val="Balloon Text"/>
    <w:basedOn w:val="Normal"/>
    <w:link w:val="BalloonTextChar"/>
    <w:uiPriority w:val="99"/>
    <w:semiHidden/>
    <w:unhideWhenUsed/>
    <w:rsid w:val="00D06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F1D"/>
    <w:rPr>
      <w:rFonts w:ascii="Tahoma" w:eastAsia="Calibri" w:hAnsi="Tahoma" w:cs="Tahoma"/>
      <w:sz w:val="16"/>
      <w:szCs w:val="16"/>
      <w:lang w:val="en-US"/>
    </w:rPr>
  </w:style>
  <w:style w:type="paragraph" w:styleId="ListParagraph">
    <w:name w:val="List Paragraph"/>
    <w:basedOn w:val="Normal"/>
    <w:uiPriority w:val="34"/>
    <w:qFormat/>
    <w:rsid w:val="00D06F1D"/>
    <w:pPr>
      <w:ind w:left="720"/>
      <w:contextualSpacing/>
    </w:pPr>
  </w:style>
  <w:style w:type="paragraph" w:styleId="Footer">
    <w:name w:val="footer"/>
    <w:basedOn w:val="Normal"/>
    <w:link w:val="FooterChar"/>
    <w:uiPriority w:val="99"/>
    <w:unhideWhenUsed/>
    <w:rsid w:val="00D06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F1D"/>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71"/>
    <w:pPr>
      <w:spacing w:after="200" w:line="276"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2771"/>
    <w:pPr>
      <w:tabs>
        <w:tab w:val="center" w:pos="4680"/>
        <w:tab w:val="right" w:pos="9360"/>
      </w:tabs>
      <w:spacing w:after="0" w:line="240" w:lineRule="auto"/>
    </w:pPr>
  </w:style>
  <w:style w:type="character" w:customStyle="1" w:styleId="HeaderChar">
    <w:name w:val="Header Char"/>
    <w:basedOn w:val="DefaultParagraphFont"/>
    <w:link w:val="Header"/>
    <w:rsid w:val="00AE2771"/>
    <w:rPr>
      <w:rFonts w:ascii="Calibri" w:eastAsia="Calibri" w:hAnsi="Calibri" w:cs="Calibri"/>
      <w:lang w:val="en-US"/>
    </w:rPr>
  </w:style>
  <w:style w:type="paragraph" w:styleId="FootnoteText">
    <w:name w:val="footnote text"/>
    <w:basedOn w:val="Normal"/>
    <w:link w:val="FootnoteTextChar"/>
    <w:uiPriority w:val="99"/>
    <w:semiHidden/>
    <w:unhideWhenUsed/>
    <w:rsid w:val="00AE2771"/>
    <w:rPr>
      <w:sz w:val="20"/>
      <w:szCs w:val="20"/>
    </w:rPr>
  </w:style>
  <w:style w:type="character" w:customStyle="1" w:styleId="FootnoteTextChar">
    <w:name w:val="Footnote Text Char"/>
    <w:basedOn w:val="DefaultParagraphFont"/>
    <w:link w:val="FootnoteText"/>
    <w:uiPriority w:val="99"/>
    <w:semiHidden/>
    <w:rsid w:val="00AE2771"/>
    <w:rPr>
      <w:rFonts w:ascii="Calibri" w:eastAsia="Calibri" w:hAnsi="Calibri" w:cs="Calibri"/>
      <w:sz w:val="20"/>
      <w:szCs w:val="20"/>
      <w:lang w:val="en-US"/>
    </w:rPr>
  </w:style>
  <w:style w:type="character" w:styleId="FootnoteReference">
    <w:name w:val="footnote reference"/>
    <w:semiHidden/>
    <w:unhideWhenUsed/>
    <w:rsid w:val="00AE2771"/>
    <w:rPr>
      <w:vertAlign w:val="superscript"/>
    </w:rPr>
  </w:style>
  <w:style w:type="character" w:styleId="Hyperlink">
    <w:name w:val="Hyperlink"/>
    <w:uiPriority w:val="99"/>
    <w:unhideWhenUsed/>
    <w:rsid w:val="00AE2771"/>
    <w:rPr>
      <w:color w:val="0000FF"/>
      <w:u w:val="single"/>
    </w:rPr>
  </w:style>
  <w:style w:type="paragraph" w:styleId="BalloonText">
    <w:name w:val="Balloon Text"/>
    <w:basedOn w:val="Normal"/>
    <w:link w:val="BalloonTextChar"/>
    <w:uiPriority w:val="99"/>
    <w:semiHidden/>
    <w:unhideWhenUsed/>
    <w:rsid w:val="00D06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F1D"/>
    <w:rPr>
      <w:rFonts w:ascii="Tahoma" w:eastAsia="Calibri" w:hAnsi="Tahoma" w:cs="Tahoma"/>
      <w:sz w:val="16"/>
      <w:szCs w:val="16"/>
      <w:lang w:val="en-US"/>
    </w:rPr>
  </w:style>
  <w:style w:type="paragraph" w:styleId="ListParagraph">
    <w:name w:val="List Paragraph"/>
    <w:basedOn w:val="Normal"/>
    <w:uiPriority w:val="34"/>
    <w:qFormat/>
    <w:rsid w:val="00D06F1D"/>
    <w:pPr>
      <w:ind w:left="720"/>
      <w:contextualSpacing/>
    </w:pPr>
  </w:style>
  <w:style w:type="paragraph" w:styleId="Footer">
    <w:name w:val="footer"/>
    <w:basedOn w:val="Normal"/>
    <w:link w:val="FooterChar"/>
    <w:uiPriority w:val="99"/>
    <w:unhideWhenUsed/>
    <w:rsid w:val="00D06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F1D"/>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eio.gov.rs/upload/documents/eu_dokumenta/godisnji_izvestaji_ek_o_napretku/izve%C5%A1taj_napretku_201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2933</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bojana</cp:lastModifiedBy>
  <cp:revision>5</cp:revision>
  <dcterms:created xsi:type="dcterms:W3CDTF">2014-02-21T18:55:00Z</dcterms:created>
  <dcterms:modified xsi:type="dcterms:W3CDTF">2014-02-24T08:15:00Z</dcterms:modified>
</cp:coreProperties>
</file>